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8356" w:type="dxa"/>
            <w:tcBorders>
              <w:top w:val="nil"/>
              <w:left w:val="nil"/>
              <w:bottom w:val="single" w:color="FF0000" w:sz="18" w:space="0"/>
              <w:right w:val="nil"/>
            </w:tcBorders>
            <w:vAlign w:val="top"/>
          </w:tcPr>
          <w:p>
            <w:pPr>
              <w:numPr>
                <w:ilvl w:val="0"/>
                <w:numId w:val="0"/>
              </w:numPr>
              <w:wordWrap w:val="0"/>
              <w:autoSpaceDE/>
              <w:autoSpaceDN/>
              <w:spacing w:before="0" w:after="0" w:line="240" w:lineRule="auto"/>
              <w:ind w:left="-15" w:right="0" w:firstLine="0"/>
              <w:jc w:val="distribute"/>
              <w:rPr>
                <w:rFonts w:hint="default" w:ascii="宋体" w:hAnsi="宋体" w:eastAsia="宋体"/>
                <w:b/>
                <w:color w:val="FF0000"/>
                <w:position w:val="0"/>
                <w:sz w:val="84"/>
                <w:szCs w:val="84"/>
              </w:rPr>
            </w:pPr>
            <w:bookmarkStart w:id="1" w:name="_GoBack"/>
            <w:bookmarkEnd w:id="1"/>
            <w:r>
              <w:rPr>
                <w:rFonts w:hint="default" w:ascii="宋体" w:hAnsi="宋体" w:eastAsia="宋体"/>
                <w:b/>
                <w:color w:val="FF0000"/>
                <w:position w:val="0"/>
                <w:sz w:val="84"/>
                <w:szCs w:val="84"/>
              </w:rPr>
              <w:t>中国商品学会</w:t>
            </w:r>
          </w:p>
        </w:tc>
      </w:tr>
    </w:tbl>
    <w:p>
      <w:pPr>
        <w:numPr>
          <w:ilvl w:val="0"/>
          <w:numId w:val="0"/>
        </w:numPr>
        <w:wordWrap w:val="0"/>
        <w:autoSpaceDE/>
        <w:autoSpaceDN/>
        <w:spacing w:before="0" w:after="0" w:line="240" w:lineRule="auto"/>
        <w:ind w:right="0" w:firstLine="0"/>
        <w:jc w:val="center"/>
        <w:rPr>
          <w:rFonts w:hint="default" w:ascii="仿宋" w:hAnsi="仿宋" w:eastAsia="仿宋"/>
          <w:color w:val="auto"/>
          <w:position w:val="0"/>
          <w:sz w:val="24"/>
          <w:szCs w:val="24"/>
        </w:rPr>
      </w:pPr>
      <w:r>
        <w:rPr>
          <w:rFonts w:hint="default" w:ascii="宋体" w:hAnsi="宋体" w:eastAsia="宋体"/>
          <w:color w:val="auto"/>
          <w:position w:val="0"/>
          <w:sz w:val="30"/>
          <w:szCs w:val="30"/>
        </w:rPr>
        <w:t xml:space="preserve">                                       </w:t>
      </w:r>
      <w:r>
        <w:rPr>
          <w:rFonts w:hint="default" w:ascii="仿宋" w:hAnsi="仿宋" w:eastAsia="仿宋"/>
          <w:color w:val="auto"/>
          <w:position w:val="0"/>
          <w:sz w:val="24"/>
          <w:szCs w:val="24"/>
        </w:rPr>
        <w:t xml:space="preserve"> 中商[2021]05号</w:t>
      </w:r>
    </w:p>
    <w:p>
      <w:pPr>
        <w:numPr>
          <w:ilvl w:val="0"/>
          <w:numId w:val="0"/>
        </w:numPr>
        <w:wordWrap w:val="0"/>
        <w:autoSpaceDE/>
        <w:autoSpaceDN/>
        <w:spacing w:before="0" w:after="0" w:line="240" w:lineRule="auto"/>
        <w:ind w:left="123" w:right="0" w:firstLine="0"/>
        <w:jc w:val="left"/>
        <w:rPr>
          <w:rFonts w:hint="default" w:ascii="仿宋" w:hAnsi="仿宋" w:eastAsia="仿宋"/>
          <w:b/>
          <w:color w:val="auto"/>
          <w:position w:val="0"/>
          <w:sz w:val="32"/>
          <w:szCs w:val="32"/>
        </w:rPr>
      </w:pPr>
    </w:p>
    <w:p>
      <w:pPr>
        <w:numPr>
          <w:ilvl w:val="0"/>
          <w:numId w:val="0"/>
        </w:numPr>
        <w:autoSpaceDE/>
        <w:autoSpaceDN/>
        <w:spacing w:before="0" w:after="0" w:line="360" w:lineRule="auto"/>
        <w:ind w:right="0" w:firstLine="0"/>
        <w:jc w:val="center"/>
        <w:rPr>
          <w:rFonts w:hint="default" w:ascii="仿宋" w:hAnsi="仿宋" w:eastAsia="仿宋"/>
          <w:b/>
          <w:color w:val="auto"/>
          <w:position w:val="0"/>
          <w:sz w:val="32"/>
          <w:szCs w:val="32"/>
        </w:rPr>
      </w:pPr>
      <w:r>
        <w:rPr>
          <w:rFonts w:hint="default" w:ascii="仿宋" w:hAnsi="仿宋" w:eastAsia="仿宋"/>
          <w:b/>
          <w:color w:val="auto"/>
          <w:position w:val="0"/>
          <w:sz w:val="32"/>
          <w:szCs w:val="32"/>
        </w:rPr>
        <w:t>理事会关于解决III型环境标志工作若干历史问题的决议公告</w:t>
      </w:r>
    </w:p>
    <w:p>
      <w:pPr>
        <w:numPr>
          <w:ilvl w:val="0"/>
          <w:numId w:val="0"/>
        </w:numPr>
        <w:autoSpaceDE/>
        <w:autoSpaceDN/>
        <w:spacing w:before="0" w:after="160" w:line="360" w:lineRule="auto"/>
        <w:ind w:right="0" w:firstLine="80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根据“第六届常务理事特别会议的决议”</w:t>
      </w:r>
      <w:bookmarkStart w:id="0" w:name="_Hlk66043628"/>
      <w:r>
        <w:rPr>
          <w:rFonts w:hint="default" w:ascii="仿宋" w:hAnsi="仿宋" w:eastAsia="仿宋"/>
          <w:color w:val="auto"/>
          <w:position w:val="0"/>
          <w:sz w:val="28"/>
          <w:szCs w:val="28"/>
        </w:rPr>
        <w:t>、“关于学会Ⅲ型环境标志工作的事态发展和历史沿革说明</w:t>
      </w:r>
      <w:bookmarkEnd w:id="0"/>
      <w:r>
        <w:rPr>
          <w:rFonts w:hint="default" w:ascii="仿宋" w:hAnsi="仿宋" w:eastAsia="仿宋"/>
          <w:color w:val="auto"/>
          <w:position w:val="0"/>
          <w:sz w:val="28"/>
          <w:szCs w:val="28"/>
        </w:rPr>
        <w:t>”，陈冠会长、吴晓玲秘书长、白世贞副会长(第七届理事会候任会长)按民政部社团管理办法和上级主管部门相关规定并依中国商品学会章程共同召集“第六届理事会特别会议”（本届理事会理事共60人,于届内病故2人，因个人原因申请退出理事会3人、有效理事共55人,因故未能出席14人,实际出席41人），参会理事达成一致共识并经表决后做出如下决议：</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1、理事会支持2021年2月27日-3月1日常务理事特别会议作出的“关于免除韩少杰同志学会职务和暂停学会环境标志专业委员会工作职能的决议”（中商[2021]01号文件）、处理“中商绿佳(北京)科技有限公司”的通知（中商[2021]02号文件）; 理事会支持学会已经实施的免职、取消授权、公章缴回、“关于III型环境标志升级工作的公告”（中商[2021]03号文件）和“中国商品学会关于废止印章的公告”（中商[2021]04号文件）等所有相关举措。</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2、理事会同意常务理事会罢免韩少杰同志学会常务理事、副会长职务的</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提议；并在提请全国会员代表大会罢免韩少杰同志学会理事期间，暂停其理事职务。</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3、停用夏青同志拟定的学会原ISO14025环境标志国际标准Ⅲ型环境标志验证的所有换证方案、技术导则和原知识产权不属于学会的商标标识，收回学会颁发的ISO14025环境标志国际标准Ⅲ型环境标志证书技术审核权及颁证权。启用学会联合专家组按照ISO14025和国家标准GB/T24025-2009重新制定的Ⅲ型环境标志技术导则、验证规则、换证方案及学会知识产权证标合一的ISO14025环境标志国际标准Ⅲ型环境标志验证证书。</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 xml:space="preserve"> 特此公告</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 xml:space="preserve">                                                </w:t>
      </w:r>
    </w:p>
    <w:p>
      <w:pPr>
        <w:numPr>
          <w:ilvl w:val="0"/>
          <w:numId w:val="0"/>
        </w:numPr>
        <w:autoSpaceDE/>
        <w:autoSpaceDN/>
        <w:spacing w:before="0" w:after="160" w:line="360" w:lineRule="auto"/>
        <w:ind w:right="0" w:firstLine="0"/>
        <w:jc w:val="both"/>
        <w:rPr>
          <w:rFonts w:hint="default" w:ascii="仿宋" w:hAnsi="仿宋" w:eastAsia="仿宋"/>
          <w:color w:val="auto"/>
          <w:position w:val="0"/>
          <w:sz w:val="28"/>
          <w:szCs w:val="28"/>
        </w:rPr>
      </w:pPr>
      <w:r>
        <w:rPr>
          <w:rFonts w:hint="default" w:ascii="仿宋" w:hAnsi="仿宋" w:eastAsia="仿宋"/>
          <w:color w:val="auto"/>
          <w:position w:val="0"/>
          <w:sz w:val="28"/>
          <w:szCs w:val="28"/>
        </w:rPr>
        <w:t xml:space="preserve">                                              中国商品学会</w:t>
      </w:r>
    </w:p>
    <w:p>
      <w:pPr>
        <w:numPr>
          <w:ilvl w:val="0"/>
          <w:numId w:val="0"/>
        </w:numPr>
        <w:autoSpaceDE/>
        <w:autoSpaceDN/>
        <w:spacing w:before="0" w:after="160" w:line="360" w:lineRule="auto"/>
        <w:ind w:left="6160" w:right="0" w:hanging="6160"/>
        <w:jc w:val="both"/>
        <w:rPr>
          <w:rFonts w:hint="default" w:ascii="仿宋" w:hAnsi="仿宋" w:eastAsia="仿宋"/>
          <w:color w:val="000000"/>
          <w:position w:val="0"/>
          <w:sz w:val="28"/>
          <w:szCs w:val="28"/>
        </w:rPr>
      </w:pPr>
      <w:r>
        <w:rPr>
          <w:rFonts w:hint="default" w:ascii="仿宋" w:hAnsi="仿宋" w:eastAsia="仿宋"/>
          <w:color w:val="000000"/>
          <w:position w:val="0"/>
          <w:sz w:val="28"/>
          <w:szCs w:val="28"/>
        </w:rPr>
        <w:t xml:space="preserve">                                             二○二一年三月十六日</w:t>
      </w:r>
    </w:p>
    <w:p>
      <w:pPr>
        <w:numPr>
          <w:ilvl w:val="0"/>
          <w:numId w:val="0"/>
        </w:numPr>
        <w:autoSpaceDE/>
        <w:autoSpaceDN/>
        <w:spacing w:before="0" w:after="160" w:line="360" w:lineRule="auto"/>
        <w:ind w:right="0" w:firstLine="0"/>
        <w:jc w:val="both"/>
        <w:rPr>
          <w:rFonts w:hint="default" w:ascii="仿宋" w:hAnsi="仿宋" w:eastAsia="仿宋"/>
          <w:color w:val="000000"/>
          <w:position w:val="0"/>
          <w:sz w:val="28"/>
          <w:szCs w:val="28"/>
        </w:rPr>
      </w:pPr>
    </w:p>
    <w:p>
      <w:pPr>
        <w:numPr>
          <w:ilvl w:val="0"/>
          <w:numId w:val="0"/>
        </w:numPr>
        <w:autoSpaceDE/>
        <w:autoSpaceDN/>
        <w:spacing w:before="0" w:after="160" w:line="360" w:lineRule="auto"/>
        <w:ind w:right="0" w:firstLine="0"/>
        <w:jc w:val="both"/>
        <w:rPr>
          <w:rFonts w:hint="default" w:ascii="仿宋" w:hAnsi="仿宋" w:eastAsia="仿宋"/>
          <w:color w:val="000000"/>
          <w:position w:val="0"/>
          <w:sz w:val="28"/>
          <w:szCs w:val="28"/>
        </w:rPr>
      </w:pPr>
    </w:p>
    <w:p>
      <w:pPr>
        <w:pStyle w:val="29"/>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u w:val="single"/>
        </w:rPr>
      </w:pPr>
      <w:r>
        <w:rPr>
          <w:rFonts w:hint="default" w:ascii="Times New Roman" w:hAnsi="Times New Roman" w:eastAsia="Times New Roman"/>
          <w:color w:val="auto"/>
          <w:position w:val="0"/>
          <w:sz w:val="21"/>
          <w:szCs w:val="21"/>
          <w:u w:val="single"/>
        </w:rPr>
        <w:t xml:space="preserve">主题词：理事会决议、公告                                                                                                                                  </w:t>
      </w:r>
    </w:p>
    <w:p>
      <w:pPr>
        <w:pStyle w:val="29"/>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rPr>
      </w:pPr>
    </w:p>
    <w:p>
      <w:pPr>
        <w:pStyle w:val="29"/>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u w:val="single"/>
        </w:rPr>
      </w:pPr>
      <w:r>
        <w:rPr>
          <w:rFonts w:hint="default" w:ascii="Times New Roman" w:hAnsi="Times New Roman" w:eastAsia="Times New Roman"/>
          <w:color w:val="auto"/>
          <w:position w:val="0"/>
          <w:sz w:val="21"/>
          <w:szCs w:val="21"/>
          <w:u w:val="single"/>
        </w:rPr>
        <w:t xml:space="preserve">抄报：民政部社团组织管理局、教育部办公厅社团办、人民大学科研处                                                     </w:t>
      </w:r>
    </w:p>
    <w:p>
      <w:pPr>
        <w:pStyle w:val="29"/>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u w:val="single"/>
        </w:rPr>
      </w:pPr>
    </w:p>
    <w:p>
      <w:pPr>
        <w:pStyle w:val="29"/>
        <w:numPr>
          <w:ilvl w:val="0"/>
          <w:numId w:val="0"/>
        </w:numPr>
        <w:autoSpaceDE/>
        <w:autoSpaceDN/>
        <w:spacing w:before="0" w:after="0" w:line="240" w:lineRule="auto"/>
        <w:ind w:right="0" w:firstLine="0"/>
        <w:jc w:val="both"/>
        <w:rPr>
          <w:rFonts w:hint="default" w:ascii="Times New Roman" w:hAnsi="Times New Roman" w:eastAsia="Times New Roman"/>
          <w:color w:val="auto"/>
          <w:position w:val="0"/>
          <w:sz w:val="21"/>
          <w:szCs w:val="21"/>
          <w:u w:val="single"/>
        </w:rPr>
      </w:pPr>
      <w:r>
        <w:rPr>
          <w:rFonts w:hint="default" w:ascii="Times New Roman" w:hAnsi="Times New Roman" w:eastAsia="Times New Roman"/>
          <w:color w:val="auto"/>
          <w:position w:val="0"/>
          <w:sz w:val="21"/>
          <w:szCs w:val="21"/>
          <w:u w:val="single"/>
        </w:rPr>
        <w:t xml:space="preserve">中国商品学会                                                                                           2021年3月16日印发（共6份）                                                                                          </w:t>
      </w:r>
    </w:p>
    <w:p>
      <w:pPr>
        <w:numPr>
          <w:ilvl w:val="0"/>
          <w:numId w:val="0"/>
        </w:numPr>
        <w:autoSpaceDE/>
        <w:autoSpaceDN/>
        <w:spacing w:before="0" w:after="0" w:line="240" w:lineRule="auto"/>
        <w:ind w:right="0" w:firstLine="560"/>
        <w:jc w:val="right"/>
        <w:rPr>
          <w:rFonts w:hint="default" w:ascii="仿宋" w:hAnsi="仿宋" w:eastAsia="仿宋"/>
          <w:color w:val="000000"/>
          <w:position w:val="0"/>
          <w:sz w:val="28"/>
          <w:szCs w:val="28"/>
          <w:u w:val="single"/>
        </w:rPr>
      </w:pPr>
    </w:p>
    <w:sectPr>
      <w:pgSz w:w="11900" w:h="16840"/>
      <w:pgMar w:top="1701" w:right="1440" w:bottom="1440" w:left="1440" w:header="708" w:footer="708" w:gutter="0"/>
      <w:pgNumType w:fmt="decimal"/>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F0502020204030204"/>
    <w:charset w:val="00"/>
    <w:family w:val="auto"/>
    <w:pitch w:val="default"/>
    <w:sig w:usb0="00000000" w:usb1="00000000" w:usb2="00000000" w:usb3="00000000" w:csb0="FFFFFFFF" w:csb1="00000000"/>
  </w:font>
  <w:font w:name="Helvetica Neue">
    <w:altName w:val="Microsoft YaHei UI Light"/>
    <w:panose1 w:val="020F0502020204030204"/>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doNotExpandShiftReturn/>
    <w:useFELayout/>
    <w:compatSetting w:name="compatibilityMode" w:uri="http://schemas.microsoft.com/office/word" w:val="15"/>
  </w:compat>
  <w:rsids>
    <w:rsidRoot w:val="00000000"/>
    <w:rsid w:val="12A02E3B"/>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semiHidden="0" w:name="header"/>
    <w:lsdException w:qFormat="1"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3"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宋体" w:hAnsi="宋体" w:eastAsia="Arial Unicode MS"/>
      <w:color w:val="000000"/>
      <w:w w:val="100"/>
      <w:sz w:val="21"/>
      <w:szCs w:val="21"/>
      <w:shd w:val="clear"/>
    </w:rPr>
  </w:style>
  <w:style w:type="paragraph" w:styleId="2">
    <w:name w:val="heading 1"/>
    <w:basedOn w:val="1"/>
    <w:next w:val="1"/>
    <w:qFormat/>
    <w:uiPriority w:val="7"/>
    <w:pPr>
      <w:widowControl/>
      <w:wordWrap/>
      <w:autoSpaceDE/>
      <w:autoSpaceDN/>
    </w:pPr>
    <w:rPr>
      <w:rFonts w:ascii="宋体" w:hAnsi="宋体" w:eastAsia="宋体"/>
      <w:b/>
      <w:w w:val="100"/>
      <w:sz w:val="48"/>
      <w:szCs w:val="48"/>
      <w:shd w:val="clear"/>
    </w:rPr>
  </w:style>
  <w:style w:type="paragraph" w:styleId="3">
    <w:name w:val="heading 2"/>
    <w:next w:val="1"/>
    <w:qFormat/>
    <w:uiPriority w:val="8"/>
    <w:pPr>
      <w:widowControl/>
      <w:wordWrap/>
      <w:autoSpaceDE/>
      <w:autoSpaceDN/>
      <w:jc w:val="both"/>
    </w:pPr>
    <w:rPr>
      <w:rFonts w:ascii="Times New Roman" w:hAnsi="Times New Roman" w:eastAsia="Times New Roman"/>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w w:val="100"/>
      <w:sz w:val="21"/>
      <w:szCs w:val="21"/>
      <w:shd w:val="clear"/>
    </w:rPr>
  </w:style>
  <w:style w:type="character" w:default="1" w:styleId="25">
    <w:name w:val="Default Paragraph Font"/>
    <w:semiHidden/>
    <w:unhideWhenUsed/>
    <w:qFormat/>
    <w:uiPriority w:val="2"/>
  </w:style>
  <w:style w:type="table" w:default="1" w:styleId="24">
    <w:name w:val="Normal Table"/>
    <w:semiHidden/>
    <w:unhideWhenUsed/>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w w:val="100"/>
      <w:sz w:val="21"/>
      <w:szCs w:val="21"/>
      <w:shd w:val="clear"/>
    </w:rPr>
  </w:style>
  <w:style w:type="paragraph" w:styleId="15">
    <w:name w:val="footer"/>
    <w:basedOn w:val="1"/>
    <w:link w:val="48"/>
    <w:unhideWhenUsed/>
    <w:qFormat/>
    <w:uiPriority w:val="151"/>
    <w:pPr>
      <w:widowControl/>
      <w:tabs>
        <w:tab w:val="center" w:pos="4153"/>
        <w:tab w:val="right" w:pos="8306"/>
      </w:tabs>
      <w:wordWrap/>
      <w:autoSpaceDE/>
      <w:autoSpaceDN/>
    </w:pPr>
    <w:rPr>
      <w:w w:val="100"/>
      <w:sz w:val="18"/>
      <w:szCs w:val="18"/>
      <w:shd w:val="clear"/>
    </w:rPr>
  </w:style>
  <w:style w:type="paragraph" w:styleId="16">
    <w:name w:val="header"/>
    <w:basedOn w:val="1"/>
    <w:link w:val="47"/>
    <w:unhideWhenUsed/>
    <w:qFormat/>
    <w:uiPriority w:val="152"/>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widowControl/>
      <w:wordWrap/>
      <w:autoSpaceDE/>
      <w:autoSpaceDN/>
      <w:jc w:val="both"/>
    </w:pPr>
    <w:rPr>
      <w:rFonts w:ascii="Times New Roman" w:hAnsi="Times New Roman" w:eastAsia="Times New Roman"/>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Times New Roman" w:hAnsi="Times New Roman" w:eastAsia="Times New Roman"/>
      <w:w w:val="100"/>
      <w:sz w:val="21"/>
      <w:szCs w:val="21"/>
      <w:shd w:val="clear"/>
    </w:rPr>
  </w:style>
  <w:style w:type="paragraph" w:styleId="19">
    <w:name w:val="Subtitle"/>
    <w:qFormat/>
    <w:uiPriority w:val="16"/>
    <w:pPr>
      <w:widowControl/>
      <w:wordWrap/>
      <w:autoSpaceDE/>
      <w:autoSpaceDN/>
      <w:jc w:val="center"/>
    </w:pPr>
    <w:rPr>
      <w:rFonts w:ascii="Times New Roman" w:hAnsi="Times New Roman" w:eastAsia="Times New Roman"/>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Times New Roman" w:hAnsi="Times New Roman" w:eastAsia="Times New Roman"/>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Times New Roman" w:hAnsi="Times New Roman" w:eastAsia="Times New Roman"/>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Times New Roman" w:hAnsi="Times New Roman" w:eastAsia="Times New Roman"/>
      <w:w w:val="100"/>
      <w:sz w:val="21"/>
      <w:szCs w:val="21"/>
      <w:shd w:val="clear"/>
    </w:rPr>
  </w:style>
  <w:style w:type="paragraph" w:styleId="23">
    <w:name w:val="Title"/>
    <w:qFormat/>
    <w:uiPriority w:val="6"/>
    <w:pPr>
      <w:widowControl/>
      <w:wordWrap/>
      <w:autoSpaceDE/>
      <w:autoSpaceDN/>
      <w:jc w:val="center"/>
    </w:pPr>
    <w:rPr>
      <w:rFonts w:ascii="Times New Roman" w:hAnsi="Times New Roman" w:eastAsia="Times New Roman"/>
      <w:b/>
      <w:w w:val="100"/>
      <w:sz w:val="32"/>
      <w:szCs w:val="32"/>
      <w:shd w:val="clear"/>
    </w:rPr>
  </w:style>
  <w:style w:type="character" w:styleId="26">
    <w:name w:val="Strong"/>
    <w:qFormat/>
    <w:uiPriority w:val="20"/>
    <w:rPr>
      <w:b/>
      <w:w w:val="100"/>
      <w:sz w:val="21"/>
      <w:szCs w:val="21"/>
      <w:shd w:val="clear" w:color="000000"/>
    </w:rPr>
  </w:style>
  <w:style w:type="character" w:styleId="27">
    <w:name w:val="Emphasis"/>
    <w:qFormat/>
    <w:uiPriority w:val="18"/>
    <w:rPr>
      <w:i/>
      <w:w w:val="100"/>
      <w:sz w:val="21"/>
      <w:szCs w:val="21"/>
      <w:shd w:val="clear" w:color="000000"/>
    </w:rPr>
  </w:style>
  <w:style w:type="character" w:styleId="28">
    <w:name w:val="Hyperlink"/>
    <w:qFormat/>
    <w:uiPriority w:val="153"/>
    <w:rPr>
      <w:w w:val="100"/>
      <w:sz w:val="20"/>
      <w:szCs w:val="20"/>
      <w:u w:val="single"/>
      <w:shd w:val="clear" w:color="000000"/>
    </w:rPr>
  </w:style>
  <w:style w:type="paragraph" w:styleId="29">
    <w:name w:val="No Spacing"/>
    <w:qFormat/>
    <w:uiPriority w:val="5"/>
    <w:pPr>
      <w:widowControl/>
      <w:wordWrap/>
      <w:autoSpaceDE/>
      <w:autoSpaceDN/>
      <w:jc w:val="both"/>
    </w:pPr>
    <w:rPr>
      <w:rFonts w:ascii="Times New Roman" w:hAnsi="Times New Roman" w:eastAsia="Times New Roman"/>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styleId="32">
    <w:name w:val="Quote"/>
    <w:qFormat/>
    <w:uiPriority w:val="21"/>
    <w:pPr>
      <w:widowControl/>
      <w:wordWrap/>
      <w:autoSpaceDE/>
      <w:autoSpaceDN/>
      <w:ind w:left="864" w:right="864" w:firstLine="0"/>
      <w:jc w:val="center"/>
    </w:pPr>
    <w:rPr>
      <w:rFonts w:ascii="Times New Roman" w:hAnsi="Times New Roman" w:eastAsia="Times New Roman"/>
      <w:i/>
      <w:color w:val="404040"/>
      <w:w w:val="100"/>
      <w:sz w:val="21"/>
      <w:szCs w:val="21"/>
      <w:shd w:val="clear"/>
    </w:rPr>
  </w:style>
  <w:style w:type="paragraph" w:styleId="33">
    <w:name w:val="Intense Quote"/>
    <w:qFormat/>
    <w:uiPriority w:val="22"/>
    <w:pPr>
      <w:widowControl/>
      <w:wordWrap/>
      <w:autoSpaceDE/>
      <w:autoSpaceDN/>
      <w:ind w:left="950" w:right="950" w:firstLine="0"/>
      <w:jc w:val="center"/>
    </w:pPr>
    <w:rPr>
      <w:rFonts w:ascii="Times New Roman" w:hAnsi="Times New Roman" w:eastAsia="Times New Roman"/>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styleId="37">
    <w:name w:val="List Paragraph"/>
    <w:basedOn w:val="1"/>
    <w:qFormat/>
    <w:uiPriority w:val="26"/>
    <w:pPr>
      <w:widowControl/>
      <w:wordWrap/>
      <w:autoSpaceDE/>
      <w:autoSpaceDN/>
      <w:ind w:firstLine="420"/>
    </w:pPr>
  </w:style>
  <w:style w:type="paragraph" w:customStyle="1" w:styleId="38">
    <w:name w:val="TOC Heading"/>
    <w:unhideWhenUsed/>
    <w:qFormat/>
    <w:uiPriority w:val="27"/>
    <w:pPr>
      <w:widowControl/>
      <w:wordWrap/>
      <w:autoSpaceDE/>
      <w:autoSpaceDN/>
    </w:pPr>
    <w:rPr>
      <w:rFonts w:ascii="等线" w:hAnsi="等线" w:eastAsia="Times New Roman"/>
      <w:color w:val="2E74B5"/>
      <w:w w:val="100"/>
      <w:sz w:val="32"/>
      <w:szCs w:val="32"/>
      <w:shd w:val="clear"/>
    </w:rPr>
  </w:style>
  <w:style w:type="character" w:customStyle="1" w:styleId="39">
    <w:name w:val="不明显强调1"/>
    <w:qFormat/>
    <w:uiPriority w:val="154"/>
    <w:rPr>
      <w:i/>
      <w:color w:val="404040"/>
      <w:w w:val="100"/>
      <w:sz w:val="21"/>
      <w:szCs w:val="21"/>
      <w:shd w:val="clear" w:color="000000"/>
    </w:rPr>
  </w:style>
  <w:style w:type="character" w:customStyle="1" w:styleId="40">
    <w:name w:val="明显强调1"/>
    <w:qFormat/>
    <w:uiPriority w:val="155"/>
    <w:rPr>
      <w:i/>
      <w:color w:val="5B9BD5"/>
      <w:w w:val="100"/>
      <w:sz w:val="21"/>
      <w:szCs w:val="21"/>
      <w:shd w:val="clear" w:color="000000"/>
    </w:rPr>
  </w:style>
  <w:style w:type="character" w:customStyle="1" w:styleId="41">
    <w:name w:val="不明显参考1"/>
    <w:qFormat/>
    <w:uiPriority w:val="156"/>
    <w:rPr>
      <w:smallCaps/>
      <w:color w:val="5A5A5A"/>
      <w:w w:val="100"/>
      <w:sz w:val="21"/>
      <w:szCs w:val="21"/>
      <w:shd w:val="clear" w:color="000000"/>
    </w:rPr>
  </w:style>
  <w:style w:type="character" w:customStyle="1" w:styleId="42">
    <w:name w:val="明显参考1"/>
    <w:qFormat/>
    <w:uiPriority w:val="157"/>
    <w:rPr>
      <w:b/>
      <w:smallCaps/>
      <w:color w:val="5B9BD5"/>
      <w:w w:val="100"/>
      <w:sz w:val="21"/>
      <w:szCs w:val="21"/>
      <w:shd w:val="clear" w:color="000000"/>
    </w:rPr>
  </w:style>
  <w:style w:type="character" w:customStyle="1" w:styleId="43">
    <w:name w:val="书籍标题1"/>
    <w:qFormat/>
    <w:uiPriority w:val="158"/>
    <w:rPr>
      <w:b/>
      <w:i/>
      <w:w w:val="100"/>
      <w:sz w:val="21"/>
      <w:szCs w:val="21"/>
      <w:shd w:val="clear" w:color="000000"/>
    </w:rPr>
  </w:style>
  <w:style w:type="paragraph" w:customStyle="1" w:styleId="44">
    <w:name w:val="TOC 标题1"/>
    <w:unhideWhenUsed/>
    <w:qFormat/>
    <w:uiPriority w:val="159"/>
    <w:pPr>
      <w:widowControl/>
      <w:wordWrap/>
      <w:autoSpaceDE/>
      <w:autoSpaceDN/>
    </w:pPr>
    <w:rPr>
      <w:rFonts w:ascii="Times New Roman" w:hAnsi="Times New Roman" w:eastAsia="Times New Roman"/>
      <w:color w:val="2E74B5"/>
      <w:w w:val="100"/>
      <w:sz w:val="32"/>
      <w:szCs w:val="32"/>
      <w:shd w:val="clear"/>
    </w:rPr>
  </w:style>
  <w:style w:type="table" w:customStyle="1" w:styleId="45">
    <w:name w:val="Table Normal"/>
    <w:qFormat/>
    <w:uiPriority w:val="160"/>
    <w:tblPr>
      <w:tblCellMar>
        <w:top w:w="0" w:type="dxa"/>
        <w:left w:w="0" w:type="dxa"/>
        <w:bottom w:w="0" w:type="dxa"/>
        <w:right w:w="0" w:type="dxa"/>
      </w:tblCellMar>
    </w:tblPr>
  </w:style>
  <w:style w:type="paragraph" w:customStyle="1" w:styleId="46">
    <w:name w:val="页眉与页脚"/>
    <w:uiPriority w:val="161"/>
    <w:pPr>
      <w:widowControl/>
      <w:tabs>
        <w:tab w:val="right" w:pos="9020"/>
      </w:tabs>
      <w:wordWrap/>
      <w:autoSpaceDE/>
      <w:autoSpaceDN/>
    </w:pPr>
    <w:rPr>
      <w:rFonts w:ascii="Helvetica Neue" w:hAnsi="Helvetica Neue" w:eastAsia="Arial Unicode MS"/>
      <w:color w:val="000000"/>
      <w:w w:val="100"/>
      <w:sz w:val="24"/>
      <w:szCs w:val="24"/>
      <w:shd w:val="clear"/>
    </w:rPr>
  </w:style>
  <w:style w:type="character" w:customStyle="1" w:styleId="47">
    <w:name w:val="页眉 字符"/>
    <w:basedOn w:val="25"/>
    <w:link w:val="16"/>
    <w:qFormat/>
    <w:uiPriority w:val="162"/>
    <w:rPr>
      <w:rFonts w:ascii="宋体" w:hAnsi="宋体" w:eastAsia="Arial Unicode MS"/>
      <w:color w:val="000000"/>
      <w:w w:val="100"/>
      <w:sz w:val="18"/>
      <w:szCs w:val="18"/>
      <w:shd w:val="clear" w:color="000000"/>
    </w:rPr>
  </w:style>
  <w:style w:type="character" w:customStyle="1" w:styleId="48">
    <w:name w:val="页脚 字符"/>
    <w:basedOn w:val="25"/>
    <w:link w:val="15"/>
    <w:qFormat/>
    <w:uiPriority w:val="163"/>
    <w:rPr>
      <w:rFonts w:ascii="宋体" w:hAnsi="宋体" w:eastAsia="Arial Unicode MS"/>
      <w:color w:val="000000"/>
      <w:w w:val="100"/>
      <w:sz w:val="18"/>
      <w:szCs w:val="18"/>
      <w:shd w:val="clear" w:color="000000"/>
    </w:rPr>
  </w:style>
  <w:style w:type="character" w:customStyle="1" w:styleId="49">
    <w:name w:val="header-site-logo-txt"/>
    <w:basedOn w:val="25"/>
    <w:qFormat/>
    <w:uiPriority w:val="164"/>
  </w:style>
  <w:style w:type="character" w:customStyle="1" w:styleId="50">
    <w:name w:val="header-site-time"/>
    <w:basedOn w:val="25"/>
    <w:qFormat/>
    <w:uiPriority w:val="165"/>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124</Words>
  <Characters>830</Characters>
  <Lines>5</Lines>
  <Paragraphs>1</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2021-03-19T06:26:30Z</dcterms:created>
  <dc:creator>adcla</dc:creator>
  <cp:lastModifiedBy>杰小氓</cp:lastModifiedBy>
  <dcterms:modified xsi:type="dcterms:W3CDTF">2021-03-19T06:27:48Z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