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07E33">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AE2BF4">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4D4712">
                    <w:t> </w:t>
                  </w:r>
                  <w:r w:rsidR="004D4712">
                    <w:t> </w:t>
                  </w:r>
                  <w:r w:rsidR="004D4712">
                    <w:t> </w:t>
                  </w:r>
                  <w:r w:rsidR="004D4712">
                    <w:t> </w:t>
                  </w:r>
                  <w:r w:rsidR="004D4712">
                    <w:t> </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p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3" w:name="_Hlk26473981"/>
      <w:r w:rsidRPr="00612696">
        <w:rPr>
          <w:rFonts w:ascii="黑体" w:eastAsia="黑体" w:hint="eastAsia"/>
          <w:b w:val="0"/>
          <w:w w:val="100"/>
          <w:sz w:val="56"/>
        </w:rPr>
        <w:t>团体</w:t>
      </w:r>
      <w:r w:rsidR="007B7453" w:rsidRPr="00612696">
        <w:rPr>
          <w:rFonts w:ascii="黑体" w:eastAsia="黑体" w:hAnsi="黑体" w:hint="eastAsia"/>
          <w:b w:val="0"/>
          <w:bCs w:val="0"/>
          <w:w w:val="100"/>
          <w:sz w:val="56"/>
          <w:szCs w:val="48"/>
        </w:rPr>
        <w:t>标准</w:t>
      </w:r>
    </w:p>
    <w:bookmarkEnd w:id="3"/>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EB31ED">
        <w:t>XXX</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2EA17"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24EFA" w:rsidP="00463B77">
      <w:pPr>
        <w:pStyle w:val="affffffffff5"/>
        <w:framePr w:h="6974" w:hRule="exact" w:wrap="around" w:x="1419" w:anchorLock="1"/>
      </w:pPr>
      <w:r w:rsidRPr="00524EFA">
        <w:rPr>
          <w:rFonts w:hint="eastAsia"/>
        </w:rPr>
        <w:t>玻璃钢一体化污水处理设备筒体</w:t>
      </w:r>
    </w:p>
    <w:p w:rsidR="00815419" w:rsidRPr="00815419" w:rsidRDefault="00815419" w:rsidP="00324EDD">
      <w:pPr>
        <w:framePr w:w="9639" w:h="6974" w:hRule="exact" w:wrap="around" w:vAnchor="page" w:hAnchor="page" w:x="1419" w:y="6408" w:anchorLock="1"/>
        <w:ind w:left="-1418"/>
      </w:pPr>
    </w:p>
    <w:p w:rsidR="00755402" w:rsidRPr="008B50C8" w:rsidRDefault="00524EFA" w:rsidP="00463B77">
      <w:pPr>
        <w:pStyle w:val="afffffff5"/>
        <w:framePr w:w="9639" w:h="6974" w:hRule="exact" w:wrap="around" w:vAnchor="page" w:hAnchor="page" w:x="1419" w:y="6408" w:anchorLock="1"/>
        <w:textAlignment w:val="bottom"/>
        <w:rPr>
          <w:rFonts w:eastAsia="黑体"/>
          <w:noProof/>
          <w:szCs w:val="28"/>
        </w:rPr>
      </w:pPr>
      <w:r w:rsidRPr="00524EFA">
        <w:rPr>
          <w:rFonts w:eastAsia="黑体"/>
          <w:noProof/>
          <w:szCs w:val="28"/>
        </w:rPr>
        <w:t xml:space="preserve">The cylinder of the </w:t>
      </w:r>
      <w:r>
        <w:rPr>
          <w:rFonts w:eastAsia="黑体" w:hint="eastAsia"/>
          <w:noProof/>
          <w:szCs w:val="28"/>
        </w:rPr>
        <w:t>frp</w:t>
      </w:r>
      <w:r w:rsidRPr="00524EFA">
        <w:rPr>
          <w:rFonts w:eastAsia="黑体"/>
          <w:noProof/>
          <w:szCs w:val="28"/>
        </w:rPr>
        <w:t xml:space="preserve"> integrated sewage treatment equipment</w:t>
      </w:r>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r>
      <w:r>
        <w:rPr>
          <w:rFonts w:ascii="黑体"/>
        </w:rPr>
        <w:fldChar w:fldCharType="separate"/>
      </w:r>
      <w:r w:rsidR="00524EFA">
        <w:rPr>
          <w:rFonts w:ascii="黑体"/>
        </w:rPr>
        <w:t>XXXX</w:t>
      </w:r>
      <w:r>
        <w:rPr>
          <w:rFonts w:ascii="黑体"/>
        </w:rPr>
        <w:fldChar w:fldCharType="end"/>
      </w:r>
      <w:bookmarkEnd w:id="8"/>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9"/>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0"/>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4"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14"/>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BB4BC"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612D40" w:rsidRDefault="00612D40" w:rsidP="00612D40">
      <w:pPr>
        <w:pStyle w:val="affffff2"/>
        <w:spacing w:after="360"/>
      </w:pPr>
      <w:bookmarkStart w:id="15" w:name="BookMark1"/>
      <w:bookmarkStart w:id="16" w:name="_Toc201671800"/>
      <w:bookmarkStart w:id="17" w:name="_Toc201672535"/>
      <w:bookmarkStart w:id="18" w:name="_Toc201676142"/>
      <w:bookmarkStart w:id="19" w:name="_Toc201845476"/>
      <w:r w:rsidRPr="00612D40">
        <w:rPr>
          <w:rFonts w:hint="eastAsia"/>
          <w:spacing w:val="320"/>
        </w:rPr>
        <w:lastRenderedPageBreak/>
        <w:t>目</w:t>
      </w:r>
      <w:r>
        <w:rPr>
          <w:rFonts w:hint="eastAsia"/>
        </w:rPr>
        <w:t>次</w:t>
      </w:r>
    </w:p>
    <w:p w:rsidR="00612D40" w:rsidRPr="00612D40" w:rsidRDefault="00612D40">
      <w:pPr>
        <w:pStyle w:val="11"/>
        <w:tabs>
          <w:tab w:val="right" w:leader="dot" w:pos="9344"/>
        </w:tabs>
        <w:rPr>
          <w:rFonts w:asciiTheme="minorHAnsi" w:eastAsiaTheme="minorEastAsia" w:hAnsiTheme="minorHAnsi" w:cstheme="minorBidi"/>
          <w:noProof/>
          <w:szCs w:val="22"/>
        </w:rPr>
      </w:pPr>
      <w:r w:rsidRPr="00612D40">
        <w:fldChar w:fldCharType="begin"/>
      </w:r>
      <w:r w:rsidRPr="00612D40">
        <w:instrText xml:space="preserve"> TOC \o "1-1" \h \t "标准文件_一级条标题,2,标准文件_附录一级条标题,2," </w:instrText>
      </w:r>
      <w:r w:rsidRPr="00612D40">
        <w:fldChar w:fldCharType="separate"/>
      </w:r>
      <w:hyperlink w:anchor="_Toc201847396" w:history="1">
        <w:r w:rsidRPr="00612D40">
          <w:rPr>
            <w:rStyle w:val="affffffe"/>
            <w:noProof/>
          </w:rPr>
          <w:t>前言</w:t>
        </w:r>
        <w:r w:rsidRPr="00612D40">
          <w:rPr>
            <w:noProof/>
          </w:rPr>
          <w:tab/>
        </w:r>
        <w:r w:rsidRPr="00612D40">
          <w:rPr>
            <w:noProof/>
          </w:rPr>
          <w:fldChar w:fldCharType="begin"/>
        </w:r>
        <w:r w:rsidRPr="00612D40">
          <w:rPr>
            <w:noProof/>
          </w:rPr>
          <w:instrText xml:space="preserve"> PAGEREF _Toc201847396 \h </w:instrText>
        </w:r>
        <w:r w:rsidRPr="00612D40">
          <w:rPr>
            <w:noProof/>
          </w:rPr>
        </w:r>
        <w:r w:rsidRPr="00612D40">
          <w:rPr>
            <w:noProof/>
          </w:rPr>
          <w:fldChar w:fldCharType="separate"/>
        </w:r>
        <w:r w:rsidR="00D07E33">
          <w:rPr>
            <w:noProof/>
          </w:rPr>
          <w:t>II</w:t>
        </w:r>
        <w:r w:rsidRPr="00612D40">
          <w:rPr>
            <w:noProof/>
          </w:rPr>
          <w:fldChar w:fldCharType="end"/>
        </w:r>
      </w:hyperlink>
    </w:p>
    <w:p w:rsidR="00612D40" w:rsidRPr="00612D40" w:rsidRDefault="00461366">
      <w:pPr>
        <w:pStyle w:val="11"/>
        <w:tabs>
          <w:tab w:val="right" w:leader="dot" w:pos="9344"/>
        </w:tabs>
        <w:rPr>
          <w:rFonts w:asciiTheme="minorHAnsi" w:eastAsiaTheme="minorEastAsia" w:hAnsiTheme="minorHAnsi" w:cstheme="minorBidi"/>
          <w:noProof/>
          <w:szCs w:val="22"/>
        </w:rPr>
      </w:pPr>
      <w:hyperlink w:anchor="_Toc201847397" w:history="1">
        <w:r w:rsidR="00612D40" w:rsidRPr="00612D40">
          <w:rPr>
            <w:rStyle w:val="affffffe"/>
            <w:noProof/>
          </w:rPr>
          <w:t>1</w:t>
        </w:r>
        <w:r w:rsidR="00612D40">
          <w:rPr>
            <w:rStyle w:val="affffffe"/>
            <w:noProof/>
          </w:rPr>
          <w:t xml:space="preserve"> </w:t>
        </w:r>
        <w:r w:rsidR="00612D40" w:rsidRPr="00612D40">
          <w:rPr>
            <w:rStyle w:val="affffffe"/>
            <w:noProof/>
          </w:rPr>
          <w:t xml:space="preserve"> 范围</w:t>
        </w:r>
        <w:r w:rsidR="00612D40" w:rsidRPr="00612D40">
          <w:rPr>
            <w:noProof/>
          </w:rPr>
          <w:tab/>
        </w:r>
        <w:r w:rsidR="00612D40" w:rsidRPr="00612D40">
          <w:rPr>
            <w:noProof/>
          </w:rPr>
          <w:fldChar w:fldCharType="begin"/>
        </w:r>
        <w:r w:rsidR="00612D40" w:rsidRPr="00612D40">
          <w:rPr>
            <w:noProof/>
          </w:rPr>
          <w:instrText xml:space="preserve"> PAGEREF _Toc201847397 \h </w:instrText>
        </w:r>
        <w:r w:rsidR="00612D40" w:rsidRPr="00612D40">
          <w:rPr>
            <w:noProof/>
          </w:rPr>
        </w:r>
        <w:r w:rsidR="00612D40" w:rsidRPr="00612D40">
          <w:rPr>
            <w:noProof/>
          </w:rPr>
          <w:fldChar w:fldCharType="separate"/>
        </w:r>
        <w:r w:rsidR="00D07E33">
          <w:rPr>
            <w:noProof/>
          </w:rPr>
          <w:t>1</w:t>
        </w:r>
        <w:r w:rsidR="00612D40" w:rsidRPr="00612D40">
          <w:rPr>
            <w:noProof/>
          </w:rPr>
          <w:fldChar w:fldCharType="end"/>
        </w:r>
      </w:hyperlink>
    </w:p>
    <w:p w:rsidR="00612D40" w:rsidRPr="00612D40" w:rsidRDefault="00461366">
      <w:pPr>
        <w:pStyle w:val="11"/>
        <w:tabs>
          <w:tab w:val="right" w:leader="dot" w:pos="9344"/>
        </w:tabs>
        <w:rPr>
          <w:rFonts w:asciiTheme="minorHAnsi" w:eastAsiaTheme="minorEastAsia" w:hAnsiTheme="minorHAnsi" w:cstheme="minorBidi"/>
          <w:noProof/>
          <w:szCs w:val="22"/>
        </w:rPr>
      </w:pPr>
      <w:hyperlink w:anchor="_Toc201847398" w:history="1">
        <w:r w:rsidR="00612D40" w:rsidRPr="00612D40">
          <w:rPr>
            <w:rStyle w:val="affffffe"/>
            <w:noProof/>
          </w:rPr>
          <w:t>2</w:t>
        </w:r>
        <w:r w:rsidR="00612D40">
          <w:rPr>
            <w:rStyle w:val="affffffe"/>
            <w:noProof/>
          </w:rPr>
          <w:t xml:space="preserve"> </w:t>
        </w:r>
        <w:r w:rsidR="00612D40" w:rsidRPr="00612D40">
          <w:rPr>
            <w:rStyle w:val="affffffe"/>
            <w:noProof/>
          </w:rPr>
          <w:t xml:space="preserve"> 规范性引用文件</w:t>
        </w:r>
        <w:r w:rsidR="00612D40" w:rsidRPr="00612D40">
          <w:rPr>
            <w:noProof/>
          </w:rPr>
          <w:tab/>
        </w:r>
        <w:r w:rsidR="00612D40" w:rsidRPr="00612D40">
          <w:rPr>
            <w:noProof/>
          </w:rPr>
          <w:fldChar w:fldCharType="begin"/>
        </w:r>
        <w:r w:rsidR="00612D40" w:rsidRPr="00612D40">
          <w:rPr>
            <w:noProof/>
          </w:rPr>
          <w:instrText xml:space="preserve"> PAGEREF _Toc201847398 \h </w:instrText>
        </w:r>
        <w:r w:rsidR="00612D40" w:rsidRPr="00612D40">
          <w:rPr>
            <w:noProof/>
          </w:rPr>
        </w:r>
        <w:r w:rsidR="00612D40" w:rsidRPr="00612D40">
          <w:rPr>
            <w:noProof/>
          </w:rPr>
          <w:fldChar w:fldCharType="separate"/>
        </w:r>
        <w:r w:rsidR="00D07E33">
          <w:rPr>
            <w:noProof/>
          </w:rPr>
          <w:t>1</w:t>
        </w:r>
        <w:r w:rsidR="00612D40" w:rsidRPr="00612D40">
          <w:rPr>
            <w:noProof/>
          </w:rPr>
          <w:fldChar w:fldCharType="end"/>
        </w:r>
      </w:hyperlink>
    </w:p>
    <w:p w:rsidR="00612D40" w:rsidRPr="00612D40" w:rsidRDefault="00461366">
      <w:pPr>
        <w:pStyle w:val="11"/>
        <w:tabs>
          <w:tab w:val="right" w:leader="dot" w:pos="9344"/>
        </w:tabs>
        <w:rPr>
          <w:rFonts w:asciiTheme="minorHAnsi" w:eastAsiaTheme="minorEastAsia" w:hAnsiTheme="minorHAnsi" w:cstheme="minorBidi"/>
          <w:noProof/>
          <w:szCs w:val="22"/>
        </w:rPr>
      </w:pPr>
      <w:hyperlink w:anchor="_Toc201847399" w:history="1">
        <w:r w:rsidR="00612D40" w:rsidRPr="00612D40">
          <w:rPr>
            <w:rStyle w:val="affffffe"/>
            <w:noProof/>
          </w:rPr>
          <w:t>3</w:t>
        </w:r>
        <w:r w:rsidR="00612D40">
          <w:rPr>
            <w:rStyle w:val="affffffe"/>
            <w:noProof/>
          </w:rPr>
          <w:t xml:space="preserve"> </w:t>
        </w:r>
        <w:r w:rsidR="00612D40" w:rsidRPr="00612D40">
          <w:rPr>
            <w:rStyle w:val="affffffe"/>
            <w:noProof/>
          </w:rPr>
          <w:t xml:space="preserve"> 术语和定义</w:t>
        </w:r>
        <w:r w:rsidR="00612D40" w:rsidRPr="00612D40">
          <w:rPr>
            <w:noProof/>
          </w:rPr>
          <w:tab/>
        </w:r>
        <w:r w:rsidR="00612D40" w:rsidRPr="00612D40">
          <w:rPr>
            <w:noProof/>
          </w:rPr>
          <w:fldChar w:fldCharType="begin"/>
        </w:r>
        <w:r w:rsidR="00612D40" w:rsidRPr="00612D40">
          <w:rPr>
            <w:noProof/>
          </w:rPr>
          <w:instrText xml:space="preserve"> PAGEREF _Toc201847399 \h </w:instrText>
        </w:r>
        <w:r w:rsidR="00612D40" w:rsidRPr="00612D40">
          <w:rPr>
            <w:noProof/>
          </w:rPr>
        </w:r>
        <w:r w:rsidR="00612D40" w:rsidRPr="00612D40">
          <w:rPr>
            <w:noProof/>
          </w:rPr>
          <w:fldChar w:fldCharType="separate"/>
        </w:r>
        <w:r w:rsidR="00D07E33">
          <w:rPr>
            <w:noProof/>
          </w:rPr>
          <w:t>1</w:t>
        </w:r>
        <w:r w:rsidR="00612D40" w:rsidRPr="00612D40">
          <w:rPr>
            <w:noProof/>
          </w:rPr>
          <w:fldChar w:fldCharType="end"/>
        </w:r>
      </w:hyperlink>
    </w:p>
    <w:p w:rsidR="00612D40" w:rsidRPr="00612D40" w:rsidRDefault="00461366">
      <w:pPr>
        <w:pStyle w:val="11"/>
        <w:tabs>
          <w:tab w:val="right" w:leader="dot" w:pos="9344"/>
        </w:tabs>
        <w:rPr>
          <w:rFonts w:asciiTheme="minorHAnsi" w:eastAsiaTheme="minorEastAsia" w:hAnsiTheme="minorHAnsi" w:cstheme="minorBidi"/>
          <w:noProof/>
          <w:szCs w:val="22"/>
        </w:rPr>
      </w:pPr>
      <w:hyperlink w:anchor="_Toc201847400" w:history="1">
        <w:r w:rsidR="00612D40" w:rsidRPr="00612D40">
          <w:rPr>
            <w:rStyle w:val="affffffe"/>
            <w:noProof/>
          </w:rPr>
          <w:t>4</w:t>
        </w:r>
        <w:r w:rsidR="00612D40">
          <w:rPr>
            <w:rStyle w:val="affffffe"/>
            <w:noProof/>
          </w:rPr>
          <w:t xml:space="preserve"> </w:t>
        </w:r>
        <w:r w:rsidR="00612D40" w:rsidRPr="00612D40">
          <w:rPr>
            <w:rStyle w:val="affffffe"/>
            <w:noProof/>
          </w:rPr>
          <w:t xml:space="preserve"> 命名方法</w:t>
        </w:r>
        <w:r w:rsidR="00612D40" w:rsidRPr="00612D40">
          <w:rPr>
            <w:noProof/>
          </w:rPr>
          <w:tab/>
        </w:r>
        <w:r w:rsidR="00612D40" w:rsidRPr="00612D40">
          <w:rPr>
            <w:noProof/>
          </w:rPr>
          <w:fldChar w:fldCharType="begin"/>
        </w:r>
        <w:r w:rsidR="00612D40" w:rsidRPr="00612D40">
          <w:rPr>
            <w:noProof/>
          </w:rPr>
          <w:instrText xml:space="preserve"> PAGEREF _Toc201847400 \h </w:instrText>
        </w:r>
        <w:r w:rsidR="00612D40" w:rsidRPr="00612D40">
          <w:rPr>
            <w:noProof/>
          </w:rPr>
        </w:r>
        <w:r w:rsidR="00612D40" w:rsidRPr="00612D40">
          <w:rPr>
            <w:noProof/>
          </w:rPr>
          <w:fldChar w:fldCharType="separate"/>
        </w:r>
        <w:r w:rsidR="00D07E33">
          <w:rPr>
            <w:noProof/>
          </w:rPr>
          <w:t>2</w:t>
        </w:r>
        <w:r w:rsidR="00612D40" w:rsidRPr="00612D40">
          <w:rPr>
            <w:noProof/>
          </w:rPr>
          <w:fldChar w:fldCharType="end"/>
        </w:r>
      </w:hyperlink>
    </w:p>
    <w:p w:rsidR="00612D40" w:rsidRPr="00612D40" w:rsidRDefault="00461366">
      <w:pPr>
        <w:pStyle w:val="11"/>
        <w:tabs>
          <w:tab w:val="right" w:leader="dot" w:pos="9344"/>
        </w:tabs>
        <w:rPr>
          <w:rFonts w:asciiTheme="minorHAnsi" w:eastAsiaTheme="minorEastAsia" w:hAnsiTheme="minorHAnsi" w:cstheme="minorBidi"/>
          <w:noProof/>
          <w:szCs w:val="22"/>
        </w:rPr>
      </w:pPr>
      <w:hyperlink w:anchor="_Toc201847401" w:history="1">
        <w:r w:rsidR="00612D40" w:rsidRPr="00612D40">
          <w:rPr>
            <w:rStyle w:val="affffffe"/>
            <w:noProof/>
          </w:rPr>
          <w:t>5</w:t>
        </w:r>
        <w:r w:rsidR="00612D40">
          <w:rPr>
            <w:rStyle w:val="affffffe"/>
            <w:noProof/>
          </w:rPr>
          <w:t xml:space="preserve"> </w:t>
        </w:r>
        <w:r w:rsidR="00612D40" w:rsidRPr="00612D40">
          <w:rPr>
            <w:rStyle w:val="affffffe"/>
            <w:noProof/>
          </w:rPr>
          <w:t xml:space="preserve"> 工艺流程及作用</w:t>
        </w:r>
        <w:r w:rsidR="00612D40" w:rsidRPr="00612D40">
          <w:rPr>
            <w:noProof/>
          </w:rPr>
          <w:tab/>
        </w:r>
        <w:r w:rsidR="00612D40" w:rsidRPr="00612D40">
          <w:rPr>
            <w:noProof/>
          </w:rPr>
          <w:fldChar w:fldCharType="begin"/>
        </w:r>
        <w:r w:rsidR="00612D40" w:rsidRPr="00612D40">
          <w:rPr>
            <w:noProof/>
          </w:rPr>
          <w:instrText xml:space="preserve"> PAGEREF _Toc201847401 \h </w:instrText>
        </w:r>
        <w:r w:rsidR="00612D40" w:rsidRPr="00612D40">
          <w:rPr>
            <w:noProof/>
          </w:rPr>
        </w:r>
        <w:r w:rsidR="00612D40" w:rsidRPr="00612D40">
          <w:rPr>
            <w:noProof/>
          </w:rPr>
          <w:fldChar w:fldCharType="separate"/>
        </w:r>
        <w:r w:rsidR="00D07E33">
          <w:rPr>
            <w:noProof/>
          </w:rPr>
          <w:t>2</w:t>
        </w:r>
        <w:r w:rsidR="00612D40" w:rsidRPr="00612D40">
          <w:rPr>
            <w:noProof/>
          </w:rPr>
          <w:fldChar w:fldCharType="end"/>
        </w:r>
      </w:hyperlink>
    </w:p>
    <w:p w:rsidR="00612D40" w:rsidRPr="00612D40" w:rsidRDefault="00461366">
      <w:pPr>
        <w:pStyle w:val="11"/>
        <w:tabs>
          <w:tab w:val="right" w:leader="dot" w:pos="9344"/>
        </w:tabs>
        <w:rPr>
          <w:rFonts w:asciiTheme="minorHAnsi" w:eastAsiaTheme="minorEastAsia" w:hAnsiTheme="minorHAnsi" w:cstheme="minorBidi"/>
          <w:noProof/>
          <w:szCs w:val="22"/>
        </w:rPr>
      </w:pPr>
      <w:hyperlink w:anchor="_Toc201847404" w:history="1">
        <w:r w:rsidR="00612D40" w:rsidRPr="00612D40">
          <w:rPr>
            <w:rStyle w:val="affffffe"/>
            <w:noProof/>
          </w:rPr>
          <w:t>6</w:t>
        </w:r>
        <w:r w:rsidR="00612D40">
          <w:rPr>
            <w:rStyle w:val="affffffe"/>
            <w:noProof/>
          </w:rPr>
          <w:t xml:space="preserve"> </w:t>
        </w:r>
        <w:r w:rsidR="00612D40" w:rsidRPr="00612D40">
          <w:rPr>
            <w:rStyle w:val="affffffe"/>
            <w:noProof/>
          </w:rPr>
          <w:t xml:space="preserve"> 设备主体</w:t>
        </w:r>
        <w:r w:rsidR="00612D40" w:rsidRPr="00612D40">
          <w:rPr>
            <w:noProof/>
          </w:rPr>
          <w:tab/>
        </w:r>
        <w:r w:rsidR="00612D40" w:rsidRPr="00612D40">
          <w:rPr>
            <w:noProof/>
          </w:rPr>
          <w:fldChar w:fldCharType="begin"/>
        </w:r>
        <w:r w:rsidR="00612D40" w:rsidRPr="00612D40">
          <w:rPr>
            <w:noProof/>
          </w:rPr>
          <w:instrText xml:space="preserve"> PAGEREF _Toc201847404 \h </w:instrText>
        </w:r>
        <w:r w:rsidR="00612D40" w:rsidRPr="00612D40">
          <w:rPr>
            <w:noProof/>
          </w:rPr>
        </w:r>
        <w:r w:rsidR="00612D40" w:rsidRPr="00612D40">
          <w:rPr>
            <w:noProof/>
          </w:rPr>
          <w:fldChar w:fldCharType="separate"/>
        </w:r>
        <w:r w:rsidR="00D07E33">
          <w:rPr>
            <w:noProof/>
          </w:rPr>
          <w:t>2</w:t>
        </w:r>
        <w:r w:rsidR="00612D40" w:rsidRPr="00612D40">
          <w:rPr>
            <w:noProof/>
          </w:rPr>
          <w:fldChar w:fldCharType="end"/>
        </w:r>
      </w:hyperlink>
    </w:p>
    <w:p w:rsidR="00612D40" w:rsidRPr="00612D40" w:rsidRDefault="00461366">
      <w:pPr>
        <w:pStyle w:val="11"/>
        <w:tabs>
          <w:tab w:val="right" w:leader="dot" w:pos="9344"/>
        </w:tabs>
        <w:rPr>
          <w:rFonts w:asciiTheme="minorHAnsi" w:eastAsiaTheme="minorEastAsia" w:hAnsiTheme="minorHAnsi" w:cstheme="minorBidi"/>
          <w:noProof/>
          <w:szCs w:val="22"/>
        </w:rPr>
      </w:pPr>
      <w:hyperlink w:anchor="_Toc201847405" w:history="1">
        <w:r w:rsidR="00612D40" w:rsidRPr="00612D40">
          <w:rPr>
            <w:rStyle w:val="affffffe"/>
            <w:noProof/>
          </w:rPr>
          <w:t>7</w:t>
        </w:r>
        <w:r w:rsidR="00612D40">
          <w:rPr>
            <w:rStyle w:val="affffffe"/>
            <w:noProof/>
          </w:rPr>
          <w:t xml:space="preserve"> </w:t>
        </w:r>
        <w:r w:rsidR="00612D40" w:rsidRPr="00612D40">
          <w:rPr>
            <w:rStyle w:val="affffffe"/>
            <w:noProof/>
          </w:rPr>
          <w:t xml:space="preserve"> 技术要求</w:t>
        </w:r>
        <w:r w:rsidR="00612D40" w:rsidRPr="00612D40">
          <w:rPr>
            <w:noProof/>
          </w:rPr>
          <w:tab/>
        </w:r>
        <w:r w:rsidR="00612D40" w:rsidRPr="00612D40">
          <w:rPr>
            <w:noProof/>
          </w:rPr>
          <w:fldChar w:fldCharType="begin"/>
        </w:r>
        <w:r w:rsidR="00612D40" w:rsidRPr="00612D40">
          <w:rPr>
            <w:noProof/>
          </w:rPr>
          <w:instrText xml:space="preserve"> PAGEREF _Toc201847405 \h </w:instrText>
        </w:r>
        <w:r w:rsidR="00612D40" w:rsidRPr="00612D40">
          <w:rPr>
            <w:noProof/>
          </w:rPr>
        </w:r>
        <w:r w:rsidR="00612D40" w:rsidRPr="00612D40">
          <w:rPr>
            <w:noProof/>
          </w:rPr>
          <w:fldChar w:fldCharType="separate"/>
        </w:r>
        <w:r w:rsidR="00D07E33">
          <w:rPr>
            <w:noProof/>
          </w:rPr>
          <w:t>3</w:t>
        </w:r>
        <w:r w:rsidR="00612D40" w:rsidRPr="00612D40">
          <w:rPr>
            <w:noProof/>
          </w:rPr>
          <w:fldChar w:fldCharType="end"/>
        </w:r>
      </w:hyperlink>
    </w:p>
    <w:p w:rsidR="00612D40" w:rsidRPr="00612D40" w:rsidRDefault="00461366">
      <w:pPr>
        <w:pStyle w:val="11"/>
        <w:tabs>
          <w:tab w:val="right" w:leader="dot" w:pos="9344"/>
        </w:tabs>
        <w:rPr>
          <w:rFonts w:asciiTheme="minorHAnsi" w:eastAsiaTheme="minorEastAsia" w:hAnsiTheme="minorHAnsi" w:cstheme="minorBidi"/>
          <w:noProof/>
          <w:szCs w:val="22"/>
        </w:rPr>
      </w:pPr>
      <w:hyperlink w:anchor="_Toc201847412" w:history="1">
        <w:r w:rsidR="00612D40" w:rsidRPr="00612D40">
          <w:rPr>
            <w:rStyle w:val="affffffe"/>
            <w:noProof/>
          </w:rPr>
          <w:t>8</w:t>
        </w:r>
        <w:r w:rsidR="00612D40">
          <w:rPr>
            <w:rStyle w:val="affffffe"/>
            <w:noProof/>
          </w:rPr>
          <w:t xml:space="preserve"> </w:t>
        </w:r>
        <w:r w:rsidR="00612D40" w:rsidRPr="00612D40">
          <w:rPr>
            <w:rStyle w:val="affffffe"/>
            <w:noProof/>
          </w:rPr>
          <w:t xml:space="preserve"> 试验方法</w:t>
        </w:r>
        <w:r w:rsidR="00612D40" w:rsidRPr="00612D40">
          <w:rPr>
            <w:noProof/>
          </w:rPr>
          <w:tab/>
        </w:r>
        <w:r w:rsidR="00612D40" w:rsidRPr="00612D40">
          <w:rPr>
            <w:noProof/>
          </w:rPr>
          <w:fldChar w:fldCharType="begin"/>
        </w:r>
        <w:r w:rsidR="00612D40" w:rsidRPr="00612D40">
          <w:rPr>
            <w:noProof/>
          </w:rPr>
          <w:instrText xml:space="preserve"> PAGEREF _Toc201847412 \h </w:instrText>
        </w:r>
        <w:r w:rsidR="00612D40" w:rsidRPr="00612D40">
          <w:rPr>
            <w:noProof/>
          </w:rPr>
        </w:r>
        <w:r w:rsidR="00612D40" w:rsidRPr="00612D40">
          <w:rPr>
            <w:noProof/>
          </w:rPr>
          <w:fldChar w:fldCharType="separate"/>
        </w:r>
        <w:r w:rsidR="00D07E33">
          <w:rPr>
            <w:noProof/>
          </w:rPr>
          <w:t>4</w:t>
        </w:r>
        <w:r w:rsidR="00612D40" w:rsidRPr="00612D40">
          <w:rPr>
            <w:noProof/>
          </w:rPr>
          <w:fldChar w:fldCharType="end"/>
        </w:r>
      </w:hyperlink>
    </w:p>
    <w:p w:rsidR="00612D40" w:rsidRPr="00612D40" w:rsidRDefault="00461366">
      <w:pPr>
        <w:pStyle w:val="11"/>
        <w:tabs>
          <w:tab w:val="right" w:leader="dot" w:pos="9344"/>
        </w:tabs>
        <w:rPr>
          <w:rFonts w:asciiTheme="minorHAnsi" w:eastAsiaTheme="minorEastAsia" w:hAnsiTheme="minorHAnsi" w:cstheme="minorBidi"/>
          <w:noProof/>
          <w:szCs w:val="22"/>
        </w:rPr>
      </w:pPr>
      <w:hyperlink w:anchor="_Toc201847419" w:history="1">
        <w:r w:rsidR="00612D40" w:rsidRPr="00612D40">
          <w:rPr>
            <w:rStyle w:val="affffffe"/>
            <w:noProof/>
          </w:rPr>
          <w:t>9</w:t>
        </w:r>
        <w:r w:rsidR="00612D40">
          <w:rPr>
            <w:rStyle w:val="affffffe"/>
            <w:noProof/>
          </w:rPr>
          <w:t xml:space="preserve"> </w:t>
        </w:r>
        <w:r w:rsidR="00612D40" w:rsidRPr="00612D40">
          <w:rPr>
            <w:rStyle w:val="affffffe"/>
            <w:noProof/>
          </w:rPr>
          <w:t xml:space="preserve"> 检验规则</w:t>
        </w:r>
        <w:r w:rsidR="00612D40" w:rsidRPr="00612D40">
          <w:rPr>
            <w:noProof/>
          </w:rPr>
          <w:tab/>
        </w:r>
        <w:r w:rsidR="00612D40" w:rsidRPr="00612D40">
          <w:rPr>
            <w:noProof/>
          </w:rPr>
          <w:fldChar w:fldCharType="begin"/>
        </w:r>
        <w:r w:rsidR="00612D40" w:rsidRPr="00612D40">
          <w:rPr>
            <w:noProof/>
          </w:rPr>
          <w:instrText xml:space="preserve"> PAGEREF _Toc201847419 \h </w:instrText>
        </w:r>
        <w:r w:rsidR="00612D40" w:rsidRPr="00612D40">
          <w:rPr>
            <w:noProof/>
          </w:rPr>
        </w:r>
        <w:r w:rsidR="00612D40" w:rsidRPr="00612D40">
          <w:rPr>
            <w:noProof/>
          </w:rPr>
          <w:fldChar w:fldCharType="separate"/>
        </w:r>
        <w:r w:rsidR="00D07E33">
          <w:rPr>
            <w:noProof/>
          </w:rPr>
          <w:t>5</w:t>
        </w:r>
        <w:r w:rsidR="00612D40" w:rsidRPr="00612D40">
          <w:rPr>
            <w:noProof/>
          </w:rPr>
          <w:fldChar w:fldCharType="end"/>
        </w:r>
      </w:hyperlink>
    </w:p>
    <w:p w:rsidR="00612D40" w:rsidRPr="00612D40" w:rsidRDefault="00461366">
      <w:pPr>
        <w:pStyle w:val="11"/>
        <w:tabs>
          <w:tab w:val="right" w:leader="dot" w:pos="9344"/>
        </w:tabs>
        <w:rPr>
          <w:rFonts w:asciiTheme="minorHAnsi" w:eastAsiaTheme="minorEastAsia" w:hAnsiTheme="minorHAnsi" w:cstheme="minorBidi"/>
          <w:noProof/>
          <w:szCs w:val="22"/>
        </w:rPr>
      </w:pPr>
      <w:hyperlink w:anchor="_Toc201847425" w:history="1">
        <w:r w:rsidR="00612D40" w:rsidRPr="00612D40">
          <w:rPr>
            <w:rStyle w:val="affffffe"/>
            <w:noProof/>
          </w:rPr>
          <w:t>10</w:t>
        </w:r>
        <w:r w:rsidR="00612D40">
          <w:rPr>
            <w:rStyle w:val="affffffe"/>
            <w:noProof/>
          </w:rPr>
          <w:t xml:space="preserve"> </w:t>
        </w:r>
        <w:r w:rsidR="00612D40" w:rsidRPr="00612D40">
          <w:rPr>
            <w:rStyle w:val="affffffe"/>
            <w:noProof/>
          </w:rPr>
          <w:t xml:space="preserve"> 标志、包装、运输和贮存</w:t>
        </w:r>
        <w:r w:rsidR="00612D40" w:rsidRPr="00612D40">
          <w:rPr>
            <w:noProof/>
          </w:rPr>
          <w:tab/>
        </w:r>
        <w:r w:rsidR="00612D40" w:rsidRPr="00612D40">
          <w:rPr>
            <w:noProof/>
          </w:rPr>
          <w:fldChar w:fldCharType="begin"/>
        </w:r>
        <w:r w:rsidR="00612D40" w:rsidRPr="00612D40">
          <w:rPr>
            <w:noProof/>
          </w:rPr>
          <w:instrText xml:space="preserve"> PAGEREF _Toc201847425 \h </w:instrText>
        </w:r>
        <w:r w:rsidR="00612D40" w:rsidRPr="00612D40">
          <w:rPr>
            <w:noProof/>
          </w:rPr>
        </w:r>
        <w:r w:rsidR="00612D40" w:rsidRPr="00612D40">
          <w:rPr>
            <w:noProof/>
          </w:rPr>
          <w:fldChar w:fldCharType="separate"/>
        </w:r>
        <w:r w:rsidR="00D07E33">
          <w:rPr>
            <w:noProof/>
          </w:rPr>
          <w:t>5</w:t>
        </w:r>
        <w:r w:rsidR="00612D40" w:rsidRPr="00612D40">
          <w:rPr>
            <w:noProof/>
          </w:rPr>
          <w:fldChar w:fldCharType="end"/>
        </w:r>
      </w:hyperlink>
    </w:p>
    <w:p w:rsidR="00612D40" w:rsidRPr="00612D40" w:rsidRDefault="00612D40" w:rsidP="00612D40">
      <w:pPr>
        <w:pStyle w:val="affffff2"/>
        <w:spacing w:after="360"/>
        <w:sectPr w:rsidR="00612D40" w:rsidRPr="00612D40" w:rsidSect="00612D40">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sidRPr="00612D40">
        <w:fldChar w:fldCharType="end"/>
      </w:r>
    </w:p>
    <w:p w:rsidR="00555C1B" w:rsidRDefault="00555C1B" w:rsidP="00555C1B">
      <w:pPr>
        <w:pStyle w:val="a6"/>
        <w:spacing w:before="900" w:after="360"/>
      </w:pPr>
      <w:bookmarkStart w:id="20" w:name="_Toc201847396"/>
      <w:bookmarkStart w:id="21" w:name="BookMark2"/>
      <w:bookmarkEnd w:id="15"/>
      <w:r w:rsidRPr="00555C1B">
        <w:rPr>
          <w:spacing w:val="320"/>
        </w:rPr>
        <w:lastRenderedPageBreak/>
        <w:t>前</w:t>
      </w:r>
      <w:r>
        <w:t>言</w:t>
      </w:r>
      <w:bookmarkEnd w:id="16"/>
      <w:bookmarkEnd w:id="17"/>
      <w:bookmarkEnd w:id="18"/>
      <w:bookmarkEnd w:id="19"/>
      <w:bookmarkEnd w:id="20"/>
    </w:p>
    <w:p w:rsidR="00555C1B" w:rsidRDefault="00555C1B" w:rsidP="00555C1B">
      <w:pPr>
        <w:pStyle w:val="affffb"/>
        <w:ind w:firstLine="420"/>
      </w:pPr>
      <w:r>
        <w:rPr>
          <w:rFonts w:hint="eastAsia"/>
        </w:rPr>
        <w:t>本文件按照GB/T 1.1—2020《标准化工作导则  第1部分：标准化文件的结构和起草规则》的规定起草。</w:t>
      </w:r>
    </w:p>
    <w:p w:rsidR="00555C1B" w:rsidRPr="00555C1B" w:rsidRDefault="00555C1B" w:rsidP="00555C1B">
      <w:pPr>
        <w:pStyle w:val="affffb"/>
        <w:ind w:firstLine="420"/>
      </w:pPr>
      <w:r w:rsidRPr="00555C1B">
        <w:rPr>
          <w:rFonts w:hint="eastAsia"/>
        </w:rPr>
        <w:t>请注意本文件的某些内容可能涉及专利。本文件的发布机构不承担识别专利的责任</w:t>
      </w:r>
      <w:r>
        <w:rPr>
          <w:rFonts w:hint="eastAsia"/>
        </w:rPr>
        <w:t>。</w:t>
      </w:r>
    </w:p>
    <w:p w:rsidR="00555C1B" w:rsidRDefault="00555C1B" w:rsidP="00555C1B">
      <w:pPr>
        <w:pStyle w:val="affffb"/>
        <w:ind w:firstLine="420"/>
      </w:pPr>
      <w:r>
        <w:rPr>
          <w:rFonts w:hint="eastAsia"/>
        </w:rPr>
        <w:t>本文件由××××提出。</w:t>
      </w:r>
    </w:p>
    <w:p w:rsidR="00555C1B" w:rsidRDefault="00555C1B" w:rsidP="00555C1B">
      <w:pPr>
        <w:pStyle w:val="affffb"/>
        <w:ind w:firstLine="420"/>
      </w:pPr>
      <w:r>
        <w:rPr>
          <w:rFonts w:hint="eastAsia"/>
        </w:rPr>
        <w:t>本文件由××××归口。</w:t>
      </w:r>
    </w:p>
    <w:p w:rsidR="00555C1B" w:rsidRDefault="00555C1B" w:rsidP="00555C1B">
      <w:pPr>
        <w:pStyle w:val="affffb"/>
        <w:ind w:firstLine="420"/>
      </w:pPr>
      <w:r>
        <w:rPr>
          <w:rFonts w:hint="eastAsia"/>
        </w:rPr>
        <w:t>本文件起草单位：</w:t>
      </w:r>
    </w:p>
    <w:p w:rsidR="00555C1B" w:rsidRDefault="00555C1B" w:rsidP="00555C1B">
      <w:pPr>
        <w:pStyle w:val="affffb"/>
        <w:ind w:firstLine="420"/>
      </w:pPr>
      <w:r>
        <w:rPr>
          <w:rFonts w:hint="eastAsia"/>
        </w:rPr>
        <w:t>本文件主要起草人：</w:t>
      </w:r>
    </w:p>
    <w:p w:rsidR="00555C1B" w:rsidRDefault="00555C1B" w:rsidP="00555C1B">
      <w:pPr>
        <w:pStyle w:val="affffb"/>
        <w:ind w:firstLine="420"/>
      </w:pPr>
    </w:p>
    <w:p w:rsidR="00555C1B" w:rsidRPr="00555C1B" w:rsidRDefault="00555C1B" w:rsidP="00555C1B">
      <w:pPr>
        <w:pStyle w:val="affffb"/>
        <w:ind w:firstLine="420"/>
        <w:sectPr w:rsidR="00555C1B" w:rsidRPr="00555C1B" w:rsidSect="00330886">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bookmarkStart w:id="23" w:name="OLE_LINK37" w:displacedByCustomXml="next"/>
    <w:bookmarkStart w:id="24" w:name="OLE_LINK32" w:displacedByCustomXml="next"/>
    <w:bookmarkStart w:id="25" w:name="OLE_LINK31" w:displacedByCustomXml="next"/>
    <w:bookmarkStart w:id="26" w:name="OLE_LINK18" w:displacedByCustomXml="next"/>
    <w:bookmarkStart w:id="27" w:name="OLE_LINK34" w:displacedByCustomXml="next"/>
    <w:bookmarkStart w:id="28" w:name="OLE_LINK33" w:displacedByCustomXml="next"/>
    <w:sdt>
      <w:sdtPr>
        <w:tag w:val="NEW_STAND_NAME"/>
        <w:id w:val="595910757"/>
        <w:lock w:val="sdtLocked"/>
        <w:placeholder>
          <w:docPart w:val="0B2C928DDF764E06961C508441955D53"/>
        </w:placeholder>
      </w:sdtPr>
      <w:sdtEndPr/>
      <w:sdtContent>
        <w:bookmarkEnd w:id="25" w:displacedByCustomXml="prev"/>
        <w:bookmarkEnd w:id="24" w:displacedByCustomXml="prev"/>
        <w:bookmarkEnd w:id="23" w:displacedByCustomXml="prev"/>
        <w:bookmarkStart w:id="29" w:name="NEW_STAND_NAME" w:displacedByCustomXml="prev"/>
        <w:p w:rsidR="00F26B7E" w:rsidRPr="00F26B7E" w:rsidRDefault="00524EFA" w:rsidP="00F32780">
          <w:pPr>
            <w:pStyle w:val="afffffffff8"/>
          </w:pPr>
          <w:r w:rsidRPr="00524EFA">
            <w:rPr>
              <w:rFonts w:hint="eastAsia"/>
            </w:rPr>
            <w:t>玻璃钢一体化污水处理设备筒体</w:t>
          </w:r>
        </w:p>
      </w:sdtContent>
    </w:sdt>
    <w:bookmarkEnd w:id="29" w:displacedByCustomXml="prev"/>
    <w:bookmarkEnd w:id="26" w:displacedByCustomXml="prev"/>
    <w:bookmarkEnd w:id="27" w:displacedByCustomXml="prev"/>
    <w:bookmarkEnd w:id="28" w:displacedByCustomXml="prev"/>
    <w:p w:rsidR="00E2552F" w:rsidRDefault="00E2552F" w:rsidP="00A77CCB">
      <w:pPr>
        <w:pStyle w:val="affc"/>
        <w:spacing w:before="240" w:after="240"/>
      </w:pPr>
      <w:bookmarkStart w:id="30" w:name="_Toc17233325"/>
      <w:bookmarkStart w:id="31" w:name="_Toc17233333"/>
      <w:bookmarkStart w:id="32" w:name="_Toc24884211"/>
      <w:bookmarkStart w:id="33" w:name="_Toc24884218"/>
      <w:bookmarkStart w:id="34" w:name="_Toc26648465"/>
      <w:bookmarkStart w:id="35" w:name="_Toc26718930"/>
      <w:bookmarkStart w:id="36" w:name="_Toc26986530"/>
      <w:bookmarkStart w:id="37" w:name="_Toc26986771"/>
      <w:bookmarkStart w:id="38" w:name="_Toc97192964"/>
      <w:bookmarkStart w:id="39" w:name="_Toc201671801"/>
      <w:bookmarkStart w:id="40" w:name="_Toc201672536"/>
      <w:bookmarkStart w:id="41" w:name="_Toc201676143"/>
      <w:bookmarkStart w:id="42" w:name="_Toc201845477"/>
      <w:bookmarkStart w:id="43" w:name="_Toc201847397"/>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8908B3" w:rsidRDefault="008908B3" w:rsidP="008908B3">
      <w:pPr>
        <w:pStyle w:val="affffb"/>
        <w:ind w:firstLine="420"/>
      </w:pPr>
      <w:bookmarkStart w:id="44" w:name="_Toc17233326"/>
      <w:bookmarkStart w:id="45" w:name="_Toc17233334"/>
      <w:bookmarkStart w:id="46" w:name="_Toc24884212"/>
      <w:bookmarkStart w:id="47" w:name="_Toc24884219"/>
      <w:bookmarkStart w:id="48" w:name="_Toc26648466"/>
      <w:bookmarkStart w:id="49" w:name="OLE_LINK1"/>
      <w:bookmarkStart w:id="50" w:name="OLE_LINK3"/>
      <w:bookmarkStart w:id="51" w:name="_GoBack"/>
      <w:r>
        <w:rPr>
          <w:rFonts w:hint="eastAsia"/>
        </w:rPr>
        <w:t>本文件规定了</w:t>
      </w:r>
      <w:r w:rsidR="00524EFA" w:rsidRPr="00524EFA">
        <w:rPr>
          <w:rFonts w:hint="eastAsia"/>
        </w:rPr>
        <w:t>玻璃钢一体化污水处理设备筒体</w:t>
      </w:r>
      <w:r w:rsidR="00AD502D">
        <w:rPr>
          <w:rFonts w:hint="eastAsia"/>
        </w:rPr>
        <w:t>的命名方法、工艺流程及作用、设备主体、技术要求、试验方法、检验规则、标志、包装、运输和贮存</w:t>
      </w:r>
      <w:r>
        <w:rPr>
          <w:rFonts w:hint="eastAsia"/>
        </w:rPr>
        <w:t>。</w:t>
      </w:r>
    </w:p>
    <w:p w:rsidR="008B0C9C" w:rsidRDefault="008908B3" w:rsidP="00AD502D">
      <w:pPr>
        <w:pStyle w:val="affffb"/>
        <w:ind w:firstLine="420"/>
      </w:pPr>
      <w:r>
        <w:rPr>
          <w:rFonts w:hint="eastAsia"/>
        </w:rPr>
        <w:t>本文件适用于</w:t>
      </w:r>
      <w:r w:rsidR="00524EFA" w:rsidRPr="00524EFA">
        <w:rPr>
          <w:rFonts w:hint="eastAsia"/>
        </w:rPr>
        <w:t>以玻璃纤维及其制品为增强材料，热固性树脂为基体材料，采用缠绕工艺制成的，用于一体化污水处理设备的筒体</w:t>
      </w:r>
      <w:r w:rsidR="00AF78C6">
        <w:rPr>
          <w:rFonts w:hint="eastAsia"/>
        </w:rPr>
        <w:t>（以下简称</w:t>
      </w:r>
      <w:r w:rsidR="009C6BEA">
        <w:rPr>
          <w:rFonts w:hint="eastAsia"/>
        </w:rPr>
        <w:t>设备</w:t>
      </w:r>
      <w:r w:rsidR="00AF78C6">
        <w:rPr>
          <w:rFonts w:hint="eastAsia"/>
        </w:rPr>
        <w:t>）</w:t>
      </w:r>
      <w:r>
        <w:rPr>
          <w:rFonts w:hint="eastAsia"/>
        </w:rPr>
        <w:t>。</w:t>
      </w:r>
      <w:r w:rsidR="00AD502D" w:rsidRPr="00AD502D">
        <w:rPr>
          <w:rFonts w:hint="eastAsia"/>
        </w:rPr>
        <w:t>该</w:t>
      </w:r>
      <w:r w:rsidR="009C6BEA">
        <w:rPr>
          <w:rFonts w:hint="eastAsia"/>
        </w:rPr>
        <w:t>设备</w:t>
      </w:r>
      <w:r w:rsidR="00AD502D" w:rsidRPr="00AD502D">
        <w:rPr>
          <w:rFonts w:hint="eastAsia"/>
        </w:rPr>
        <w:t>主要应用于</w:t>
      </w:r>
      <w:r w:rsidR="00AD502D">
        <w:rPr>
          <w:rFonts w:hint="eastAsia"/>
        </w:rPr>
        <w:t>新农村建设、高端楼盘、旅游景区等多元场景</w:t>
      </w:r>
      <w:r w:rsidR="00AD502D" w:rsidRPr="00AD502D">
        <w:rPr>
          <w:rFonts w:hint="eastAsia"/>
        </w:rPr>
        <w:t>等污水处理领域。</w:t>
      </w:r>
    </w:p>
    <w:p w:rsidR="00E2552F" w:rsidRDefault="00E2552F" w:rsidP="00A77CCB">
      <w:pPr>
        <w:pStyle w:val="affc"/>
        <w:spacing w:before="240" w:after="240"/>
      </w:pPr>
      <w:bookmarkStart w:id="52" w:name="_Toc26718931"/>
      <w:bookmarkStart w:id="53" w:name="_Toc26986531"/>
      <w:bookmarkStart w:id="54" w:name="_Toc26986772"/>
      <w:bookmarkStart w:id="55" w:name="_Toc97192965"/>
      <w:bookmarkStart w:id="56" w:name="_Toc201671802"/>
      <w:bookmarkStart w:id="57" w:name="_Toc201672537"/>
      <w:bookmarkStart w:id="58" w:name="_Toc201676144"/>
      <w:bookmarkStart w:id="59" w:name="_Toc201845478"/>
      <w:bookmarkStart w:id="60" w:name="_Toc201847398"/>
      <w:bookmarkEnd w:id="49"/>
      <w:bookmarkEnd w:id="50"/>
      <w:bookmarkEnd w:id="51"/>
      <w:r>
        <w:rPr>
          <w:rFonts w:hint="eastAsia"/>
        </w:rPr>
        <w:t>规范性引用文件</w:t>
      </w:r>
      <w:bookmarkEnd w:id="44"/>
      <w:bookmarkEnd w:id="45"/>
      <w:bookmarkEnd w:id="46"/>
      <w:bookmarkEnd w:id="47"/>
      <w:bookmarkEnd w:id="48"/>
      <w:bookmarkEnd w:id="52"/>
      <w:bookmarkEnd w:id="53"/>
      <w:bookmarkEnd w:id="54"/>
      <w:bookmarkEnd w:id="55"/>
      <w:bookmarkEnd w:id="56"/>
      <w:bookmarkEnd w:id="57"/>
      <w:bookmarkEnd w:id="58"/>
      <w:bookmarkEnd w:id="59"/>
      <w:bookmarkEnd w:id="60"/>
    </w:p>
    <w:sdt>
      <w:sdtPr>
        <w:rPr>
          <w:rFonts w:hint="eastAsia"/>
        </w:rPr>
        <w:id w:val="715848253"/>
        <w:placeholder>
          <w:docPart w:val="8A49910B4D754B1190C0380062FDE57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0652A" w:rsidRDefault="0030652A" w:rsidP="0030652A">
      <w:pPr>
        <w:pStyle w:val="affffb"/>
        <w:ind w:firstLine="420"/>
      </w:pPr>
      <w:r>
        <w:rPr>
          <w:rFonts w:hint="eastAsia"/>
        </w:rPr>
        <w:t>GB/T 191  包装储运图示标志</w:t>
      </w:r>
    </w:p>
    <w:p w:rsidR="0030652A" w:rsidRDefault="0030652A" w:rsidP="0030652A">
      <w:pPr>
        <w:pStyle w:val="affffb"/>
        <w:ind w:firstLine="420"/>
      </w:pPr>
      <w:r>
        <w:rPr>
          <w:rFonts w:hint="eastAsia"/>
        </w:rPr>
        <w:t>GB/T 1447  纤维增强塑料拉伸性能试验方法</w:t>
      </w:r>
    </w:p>
    <w:p w:rsidR="0030652A" w:rsidRDefault="0030652A" w:rsidP="0030652A">
      <w:pPr>
        <w:pStyle w:val="affffb"/>
        <w:ind w:firstLine="420"/>
      </w:pPr>
      <w:r>
        <w:rPr>
          <w:rFonts w:hint="eastAsia"/>
        </w:rPr>
        <w:t>GB/T 1463  纤维增强塑料密度和相对密度试验方法</w:t>
      </w:r>
    </w:p>
    <w:p w:rsidR="0030652A" w:rsidRDefault="0030652A" w:rsidP="0030652A">
      <w:pPr>
        <w:pStyle w:val="affffb"/>
        <w:ind w:firstLine="420"/>
      </w:pPr>
      <w:r>
        <w:rPr>
          <w:rFonts w:hint="eastAsia"/>
        </w:rPr>
        <w:t>GB/T 2573  玻璃纤维增强塑料老化性能试验方法</w:t>
      </w:r>
    </w:p>
    <w:p w:rsidR="0030652A" w:rsidRDefault="0030652A" w:rsidP="0030652A">
      <w:pPr>
        <w:pStyle w:val="affffb"/>
        <w:ind w:firstLine="420"/>
      </w:pPr>
      <w:r>
        <w:rPr>
          <w:rFonts w:hint="eastAsia"/>
        </w:rPr>
        <w:t>GB/T 3854  增强塑料巴柯尔硬度试验方法</w:t>
      </w:r>
    </w:p>
    <w:p w:rsidR="0030652A" w:rsidRDefault="0030652A" w:rsidP="0030652A">
      <w:pPr>
        <w:pStyle w:val="affffb"/>
        <w:ind w:firstLine="420"/>
      </w:pPr>
      <w:r>
        <w:rPr>
          <w:rFonts w:hint="eastAsia"/>
        </w:rPr>
        <w:t>GB/T 6388  运输包装收发货标志</w:t>
      </w:r>
    </w:p>
    <w:p w:rsidR="0030652A" w:rsidRDefault="0030652A" w:rsidP="0030652A">
      <w:pPr>
        <w:pStyle w:val="affffb"/>
        <w:ind w:firstLine="420"/>
      </w:pPr>
      <w:r>
        <w:rPr>
          <w:rFonts w:hint="eastAsia"/>
        </w:rPr>
        <w:t>GB/T 9969  工业产品使用说明书 总则</w:t>
      </w:r>
    </w:p>
    <w:p w:rsidR="0030652A" w:rsidRDefault="0030652A" w:rsidP="0030652A">
      <w:pPr>
        <w:pStyle w:val="affffb"/>
        <w:ind w:firstLine="420"/>
      </w:pPr>
      <w:r>
        <w:rPr>
          <w:rFonts w:hint="eastAsia"/>
        </w:rPr>
        <w:t>GB/T 18369  玻璃纤维无捻粗纱</w:t>
      </w:r>
    </w:p>
    <w:p w:rsidR="0030652A" w:rsidRDefault="0030652A" w:rsidP="0030652A">
      <w:pPr>
        <w:pStyle w:val="affffb"/>
        <w:ind w:firstLine="420"/>
      </w:pPr>
      <w:r>
        <w:rPr>
          <w:rFonts w:hint="eastAsia"/>
        </w:rPr>
        <w:t>GB 50014  室外排水设计标准</w:t>
      </w:r>
    </w:p>
    <w:p w:rsidR="0030652A" w:rsidRDefault="0030652A" w:rsidP="0030652A">
      <w:pPr>
        <w:pStyle w:val="affffb"/>
        <w:ind w:firstLine="420"/>
      </w:pPr>
      <w:r>
        <w:rPr>
          <w:rFonts w:hint="eastAsia"/>
        </w:rPr>
        <w:t>GB 50661  钢结构焊接规范</w:t>
      </w:r>
    </w:p>
    <w:p w:rsidR="0030652A" w:rsidRDefault="0030652A" w:rsidP="0030652A">
      <w:pPr>
        <w:pStyle w:val="affffb"/>
        <w:ind w:firstLine="420"/>
      </w:pPr>
      <w:r>
        <w:rPr>
          <w:rFonts w:hint="eastAsia"/>
        </w:rPr>
        <w:t>GB 50032  室外给水排水和燃气热力工程抗震设计规范</w:t>
      </w:r>
    </w:p>
    <w:p w:rsidR="0030652A" w:rsidRDefault="0030652A" w:rsidP="0030652A">
      <w:pPr>
        <w:pStyle w:val="affffb"/>
        <w:ind w:firstLine="420"/>
      </w:pPr>
      <w:r>
        <w:rPr>
          <w:rFonts w:hint="eastAsia"/>
        </w:rPr>
        <w:t>GB 55002  建筑与市政工程抗震通用规范</w:t>
      </w:r>
    </w:p>
    <w:p w:rsidR="0030652A" w:rsidRDefault="0030652A" w:rsidP="0030652A">
      <w:pPr>
        <w:pStyle w:val="affffb"/>
        <w:ind w:firstLine="420"/>
      </w:pPr>
      <w:r>
        <w:rPr>
          <w:rFonts w:hint="eastAsia"/>
        </w:rPr>
        <w:t>GB 55003  建筑与市政地基基础通用规范</w:t>
      </w:r>
    </w:p>
    <w:p w:rsidR="0030652A" w:rsidRDefault="0030652A" w:rsidP="0030652A">
      <w:pPr>
        <w:pStyle w:val="affffb"/>
        <w:ind w:firstLine="420"/>
      </w:pPr>
      <w:r>
        <w:rPr>
          <w:rFonts w:hint="eastAsia"/>
        </w:rPr>
        <w:t>GB 55006  钢结构通用规范</w:t>
      </w:r>
    </w:p>
    <w:p w:rsidR="0030652A" w:rsidRDefault="0030652A" w:rsidP="0030652A">
      <w:pPr>
        <w:pStyle w:val="affffb"/>
        <w:ind w:firstLine="420"/>
      </w:pPr>
      <w:r>
        <w:rPr>
          <w:rFonts w:hint="eastAsia"/>
        </w:rPr>
        <w:t>GB/T 11547  塑料 耐液体化学试剂性能的测定</w:t>
      </w:r>
    </w:p>
    <w:p w:rsidR="0030652A" w:rsidRDefault="0030652A" w:rsidP="0030652A">
      <w:pPr>
        <w:pStyle w:val="affffb"/>
        <w:ind w:firstLine="420"/>
      </w:pPr>
      <w:r>
        <w:rPr>
          <w:rFonts w:hint="eastAsia"/>
        </w:rPr>
        <w:t>GB/T 13306  标牌</w:t>
      </w:r>
    </w:p>
    <w:p w:rsidR="0030652A" w:rsidRDefault="0030652A" w:rsidP="0030652A">
      <w:pPr>
        <w:pStyle w:val="affffb"/>
        <w:ind w:firstLine="420"/>
      </w:pPr>
      <w:r>
        <w:rPr>
          <w:rFonts w:hint="eastAsia"/>
        </w:rPr>
        <w:t>JGJ 476  建筑工程抗浮技术标准</w:t>
      </w:r>
    </w:p>
    <w:p w:rsidR="0030652A" w:rsidRDefault="0030652A" w:rsidP="0030652A">
      <w:pPr>
        <w:pStyle w:val="affffb"/>
        <w:ind w:firstLine="420"/>
      </w:pPr>
      <w:r>
        <w:rPr>
          <w:rFonts w:hint="eastAsia"/>
        </w:rPr>
        <w:t>NB/T 10790  水处理设备 技术条件</w:t>
      </w:r>
    </w:p>
    <w:p w:rsidR="00B265BC" w:rsidRPr="00E030F9" w:rsidRDefault="00FD59EB" w:rsidP="00FD59EB">
      <w:pPr>
        <w:pStyle w:val="affc"/>
        <w:spacing w:before="240" w:after="240"/>
      </w:pPr>
      <w:bookmarkStart w:id="61" w:name="_Toc97192966"/>
      <w:bookmarkStart w:id="62" w:name="_Toc201671803"/>
      <w:bookmarkStart w:id="63" w:name="_Toc201672538"/>
      <w:bookmarkStart w:id="64" w:name="_Toc201676145"/>
      <w:bookmarkStart w:id="65" w:name="_Toc201845479"/>
      <w:bookmarkStart w:id="66" w:name="_Toc201847399"/>
      <w:r>
        <w:rPr>
          <w:rFonts w:hint="eastAsia"/>
          <w:szCs w:val="21"/>
        </w:rPr>
        <w:t>术语和定义</w:t>
      </w:r>
      <w:bookmarkEnd w:id="61"/>
      <w:bookmarkEnd w:id="62"/>
      <w:bookmarkEnd w:id="63"/>
      <w:bookmarkEnd w:id="64"/>
      <w:bookmarkEnd w:id="65"/>
      <w:bookmarkEnd w:id="66"/>
    </w:p>
    <w:bookmarkStart w:id="67" w:name="_Toc26986532" w:displacedByCustomXml="next"/>
    <w:bookmarkEnd w:id="67" w:displacedByCustomXml="next"/>
    <w:sdt>
      <w:sdtPr>
        <w:id w:val="-1909835108"/>
        <w:placeholder>
          <w:docPart w:val="550D143B3FD5436095CA01AEDF15DD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555C1B" w:rsidP="00BA263B">
          <w:pPr>
            <w:pStyle w:val="affffb"/>
            <w:ind w:firstLine="420"/>
          </w:pPr>
          <w:r>
            <w:t>下列术语和定义适用于本文件。</w:t>
          </w:r>
        </w:p>
      </w:sdtContent>
    </w:sdt>
    <w:p w:rsidR="004B3E93" w:rsidRDefault="00555C1B" w:rsidP="00702AEF">
      <w:pPr>
        <w:pStyle w:val="afffffffffff5"/>
        <w:rPr>
          <w:rFonts w:ascii="黑体" w:eastAsia="黑体" w:hAnsi="黑体"/>
        </w:rPr>
      </w:pPr>
      <w:r w:rsidRPr="00555C1B">
        <w:br/>
      </w:r>
      <w:r w:rsidRPr="00555C1B">
        <w:rPr>
          <w:rFonts w:ascii="黑体" w:eastAsia="黑体" w:hAnsi="黑体" w:hint="eastAsia"/>
        </w:rPr>
        <w:t xml:space="preserve"> </w:t>
      </w:r>
      <w:r w:rsidRPr="00555C1B">
        <w:rPr>
          <w:rFonts w:ascii="黑体" w:eastAsia="黑体" w:hAnsi="黑体"/>
        </w:rPr>
        <w:t xml:space="preserve">   </w:t>
      </w:r>
      <w:r w:rsidR="00702AEF">
        <w:rPr>
          <w:rFonts w:ascii="黑体" w:eastAsia="黑体" w:hAnsi="黑体" w:hint="eastAsia"/>
        </w:rPr>
        <w:t>玻璃钢一体化污水处理设备筒体</w:t>
      </w:r>
      <w:r w:rsidRPr="00555C1B">
        <w:rPr>
          <w:rFonts w:ascii="黑体" w:eastAsia="黑体" w:hAnsi="黑体" w:hint="eastAsia"/>
        </w:rPr>
        <w:t xml:space="preserve"> </w:t>
      </w:r>
      <w:r w:rsidRPr="00555C1B">
        <w:rPr>
          <w:rFonts w:ascii="黑体" w:eastAsia="黑体" w:hAnsi="黑体"/>
        </w:rPr>
        <w:t xml:space="preserve"> </w:t>
      </w:r>
      <w:r w:rsidR="00E114A4">
        <w:rPr>
          <w:rFonts w:ascii="黑体" w:eastAsia="黑体" w:hAnsi="黑体" w:hint="eastAsia"/>
        </w:rPr>
        <w:t>t</w:t>
      </w:r>
      <w:r w:rsidR="00E114A4" w:rsidRPr="00702AEF">
        <w:rPr>
          <w:rFonts w:ascii="黑体" w:eastAsia="黑体" w:hAnsi="黑体"/>
        </w:rPr>
        <w:t>he</w:t>
      </w:r>
      <w:r w:rsidR="00E114A4">
        <w:rPr>
          <w:rFonts w:ascii="黑体" w:eastAsia="黑体" w:hAnsi="黑体"/>
        </w:rPr>
        <w:t xml:space="preserve"> </w:t>
      </w:r>
      <w:r w:rsidR="00E114A4" w:rsidRPr="00702AEF">
        <w:rPr>
          <w:rFonts w:ascii="黑体" w:eastAsia="黑体" w:hAnsi="黑体"/>
        </w:rPr>
        <w:t xml:space="preserve">cylinder of the </w:t>
      </w:r>
      <w:proofErr w:type="spellStart"/>
      <w:r w:rsidR="00E114A4">
        <w:rPr>
          <w:rFonts w:ascii="黑体" w:eastAsia="黑体" w:hAnsi="黑体" w:hint="eastAsia"/>
        </w:rPr>
        <w:t>frp</w:t>
      </w:r>
      <w:proofErr w:type="spellEnd"/>
      <w:r w:rsidR="00E114A4" w:rsidRPr="00702AEF">
        <w:rPr>
          <w:rFonts w:ascii="黑体" w:eastAsia="黑体" w:hAnsi="黑体"/>
        </w:rPr>
        <w:t xml:space="preserve"> integrated sewage treatment equipment</w:t>
      </w:r>
    </w:p>
    <w:p w:rsidR="00555C1B" w:rsidRPr="003C7C00" w:rsidRDefault="00702AEF" w:rsidP="00555C1B">
      <w:pPr>
        <w:pStyle w:val="affffb"/>
        <w:ind w:firstLine="420"/>
        <w:rPr>
          <w:rFonts w:hAnsi="宋体"/>
          <w:color w:val="000000" w:themeColor="text1"/>
          <w:szCs w:val="21"/>
        </w:rPr>
      </w:pPr>
      <w:r w:rsidRPr="00702AEF">
        <w:rPr>
          <w:rFonts w:hAnsi="宋体" w:hint="eastAsia"/>
          <w:color w:val="000000" w:themeColor="text1"/>
          <w:szCs w:val="21"/>
        </w:rPr>
        <w:t>采用玻璃纤维增强热固性树脂制成的，具有特定形状和结构，用于容纳和保护一体化污水处理设备内部组件，并承受一定压力和荷载的封闭容器</w:t>
      </w:r>
      <w:r w:rsidR="003C7C00" w:rsidRPr="003C7C00">
        <w:rPr>
          <w:rFonts w:ascii="Helvetica" w:hAnsi="Helvetica"/>
          <w:color w:val="000000" w:themeColor="text1"/>
          <w:szCs w:val="21"/>
          <w:shd w:val="clear" w:color="auto" w:fill="FFFFFF"/>
        </w:rPr>
        <w:t>。</w:t>
      </w:r>
    </w:p>
    <w:p w:rsidR="008908B3" w:rsidRPr="00AD502D" w:rsidRDefault="0061430F" w:rsidP="00AD502D">
      <w:pPr>
        <w:pStyle w:val="afffffffffff5"/>
        <w:rPr>
          <w:rFonts w:ascii="黑体" w:eastAsia="黑体" w:hAnsi="黑体"/>
        </w:rPr>
      </w:pPr>
      <w:r w:rsidRPr="00715080">
        <w:rPr>
          <w:color w:val="000000" w:themeColor="text1"/>
        </w:rPr>
        <w:br/>
      </w:r>
      <w:r w:rsidR="00AD502D" w:rsidRPr="00AD502D">
        <w:rPr>
          <w:rFonts w:ascii="黑体" w:eastAsia="黑体" w:hAnsi="黑体" w:hint="eastAsia"/>
        </w:rPr>
        <w:t xml:space="preserve"> </w:t>
      </w:r>
      <w:r w:rsidR="00AD502D" w:rsidRPr="00AD502D">
        <w:rPr>
          <w:rFonts w:ascii="黑体" w:eastAsia="黑体" w:hAnsi="黑体"/>
        </w:rPr>
        <w:t xml:space="preserve">   </w:t>
      </w:r>
      <w:r w:rsidR="00AD502D" w:rsidRPr="00AD502D">
        <w:rPr>
          <w:rFonts w:ascii="黑体" w:eastAsia="黑体" w:hAnsi="黑体" w:hint="eastAsia"/>
        </w:rPr>
        <w:t>巴氏硬度</w:t>
      </w:r>
      <w:r w:rsidR="00AD502D" w:rsidRPr="00AD502D">
        <w:rPr>
          <w:rFonts w:ascii="黑体" w:eastAsia="黑体" w:hAnsi="黑体"/>
        </w:rPr>
        <w:t xml:space="preserve">  </w:t>
      </w:r>
      <w:proofErr w:type="spellStart"/>
      <w:r w:rsidR="00AD502D" w:rsidRPr="00AD502D">
        <w:rPr>
          <w:rFonts w:ascii="黑体" w:eastAsia="黑体" w:hAnsi="黑体"/>
        </w:rPr>
        <w:t>Barcol</w:t>
      </w:r>
      <w:proofErr w:type="spellEnd"/>
      <w:r w:rsidR="00AD502D" w:rsidRPr="00AD502D">
        <w:rPr>
          <w:rFonts w:ascii="黑体" w:eastAsia="黑体" w:hAnsi="黑体"/>
        </w:rPr>
        <w:t xml:space="preserve"> hardness</w:t>
      </w:r>
      <w:r w:rsidR="00AD502D" w:rsidRPr="00AD502D">
        <w:rPr>
          <w:rFonts w:ascii="黑体" w:eastAsia="黑体" w:hAnsi="黑体" w:hint="eastAsia"/>
        </w:rPr>
        <w:t xml:space="preserve"> </w:t>
      </w:r>
    </w:p>
    <w:p w:rsidR="008908B3" w:rsidRDefault="00AD502D" w:rsidP="008908B3">
      <w:pPr>
        <w:pStyle w:val="affffb"/>
        <w:ind w:firstLine="420"/>
      </w:pPr>
      <w:r w:rsidRPr="00AD502D">
        <w:rPr>
          <w:rFonts w:hint="eastAsia"/>
        </w:rPr>
        <w:t>用巴氏硬度计测定的材料表面硬度值，用于表征玻璃钢材料的硬度特性</w:t>
      </w:r>
      <w:r w:rsidR="008908B3">
        <w:rPr>
          <w:rFonts w:hint="eastAsia"/>
        </w:rPr>
        <w:t>。</w:t>
      </w:r>
    </w:p>
    <w:p w:rsidR="008908B3" w:rsidRDefault="00AF78C6" w:rsidP="008908B3">
      <w:pPr>
        <w:pStyle w:val="affc"/>
        <w:spacing w:before="240" w:after="240"/>
      </w:pPr>
      <w:bookmarkStart w:id="68" w:name="_Toc201845480"/>
      <w:bookmarkStart w:id="69" w:name="_Toc201847400"/>
      <w:r>
        <w:rPr>
          <w:rFonts w:hint="eastAsia"/>
        </w:rPr>
        <w:lastRenderedPageBreak/>
        <w:t>命名方法</w:t>
      </w:r>
      <w:bookmarkEnd w:id="68"/>
      <w:bookmarkEnd w:id="69"/>
    </w:p>
    <w:p w:rsidR="008908B3" w:rsidRDefault="00AF78C6" w:rsidP="00AF78C6">
      <w:pPr>
        <w:pStyle w:val="affffb"/>
        <w:ind w:firstLine="420"/>
      </w:pPr>
      <w:r>
        <w:rPr>
          <w:rFonts w:hint="eastAsia"/>
        </w:rPr>
        <w:t>一体化污水处理设备命名方法如下：</w:t>
      </w:r>
      <w:r w:rsidR="001F717C" w:rsidRPr="001F717C">
        <w:rPr>
          <w:rFonts w:hint="eastAsia"/>
          <w:highlight w:val="green"/>
        </w:rPr>
        <w:t>（是否保留，如保留请补充）</w:t>
      </w:r>
    </w:p>
    <w:p w:rsidR="00AF78C6" w:rsidRDefault="00AF78C6" w:rsidP="00D245CD">
      <w:pPr>
        <w:pStyle w:val="affffb"/>
        <w:ind w:firstLine="420"/>
        <w:jc w:val="center"/>
      </w:pPr>
      <w:r>
        <w:object w:dxaOrig="3406" w:dyaOrig="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4pt;height:90.5pt" o:ole="">
            <v:imagedata r:id="rId17" o:title=""/>
          </v:shape>
          <o:OLEObject Type="Embed" ProgID="Visio.Drawing.15" ShapeID="_x0000_i1025" DrawAspect="Content" ObjectID="_1812529570" r:id="rId18"/>
        </w:object>
      </w:r>
    </w:p>
    <w:p w:rsidR="00D245CD" w:rsidRDefault="00D245CD" w:rsidP="00BC052C">
      <w:pPr>
        <w:pStyle w:val="affc"/>
        <w:spacing w:before="240" w:after="240"/>
      </w:pPr>
      <w:bookmarkStart w:id="70" w:name="_Toc201845481"/>
      <w:bookmarkStart w:id="71" w:name="_Toc201847401"/>
      <w:bookmarkStart w:id="72" w:name="_Toc201671807"/>
      <w:bookmarkStart w:id="73" w:name="_Toc201672542"/>
      <w:bookmarkStart w:id="74" w:name="_Toc201676149"/>
      <w:r>
        <w:rPr>
          <w:rFonts w:hint="eastAsia"/>
        </w:rPr>
        <w:t>工艺流程及作用</w:t>
      </w:r>
      <w:bookmarkEnd w:id="70"/>
      <w:bookmarkEnd w:id="71"/>
    </w:p>
    <w:p w:rsidR="00D245CD" w:rsidRDefault="00D245CD" w:rsidP="00D245CD">
      <w:pPr>
        <w:pStyle w:val="affd"/>
        <w:spacing w:before="120" w:after="120"/>
      </w:pPr>
      <w:bookmarkStart w:id="75" w:name="_Toc201845482"/>
      <w:bookmarkStart w:id="76" w:name="_Toc201847402"/>
      <w:r>
        <w:rPr>
          <w:rFonts w:hint="eastAsia"/>
        </w:rPr>
        <w:t>工艺流程</w:t>
      </w:r>
      <w:bookmarkEnd w:id="75"/>
      <w:bookmarkEnd w:id="76"/>
    </w:p>
    <w:p w:rsidR="00D245CD" w:rsidRDefault="00D245CD" w:rsidP="00C84189">
      <w:pPr>
        <w:pStyle w:val="affffb"/>
        <w:ind w:firstLine="420"/>
      </w:pPr>
      <w:r>
        <w:rPr>
          <w:rFonts w:hint="eastAsia"/>
        </w:rPr>
        <w:t>化粪池→格栅池→调节池→厌氧池→缺氧池→好氧池→污泥池→人工湿地。</w:t>
      </w:r>
    </w:p>
    <w:p w:rsidR="00D245CD" w:rsidRDefault="00D245CD" w:rsidP="00D245CD">
      <w:pPr>
        <w:pStyle w:val="affd"/>
        <w:spacing w:before="120" w:after="120"/>
      </w:pPr>
      <w:bookmarkStart w:id="77" w:name="_Toc201845483"/>
      <w:bookmarkStart w:id="78" w:name="_Toc201847403"/>
      <w:r>
        <w:rPr>
          <w:rFonts w:hint="eastAsia"/>
        </w:rPr>
        <w:t>作用</w:t>
      </w:r>
      <w:bookmarkEnd w:id="77"/>
      <w:bookmarkEnd w:id="78"/>
    </w:p>
    <w:p w:rsidR="00D245CD" w:rsidRDefault="00D245CD" w:rsidP="00D245CD">
      <w:pPr>
        <w:pStyle w:val="affe"/>
        <w:spacing w:before="120" w:after="120"/>
      </w:pPr>
      <w:r>
        <w:rPr>
          <w:rFonts w:hint="eastAsia"/>
        </w:rPr>
        <w:t xml:space="preserve">化粪池 </w:t>
      </w:r>
    </w:p>
    <w:p w:rsidR="00D245CD" w:rsidRDefault="00CD1E23" w:rsidP="00CD1E23">
      <w:pPr>
        <w:pStyle w:val="affffb"/>
        <w:ind w:firstLine="420"/>
      </w:pPr>
      <w:r>
        <w:rPr>
          <w:rFonts w:hint="eastAsia"/>
        </w:rPr>
        <w:t>初级沉淀与厌氧分解。</w:t>
      </w:r>
      <w:r w:rsidR="00D245CD">
        <w:rPr>
          <w:rFonts w:hint="eastAsia"/>
        </w:rPr>
        <w:t>截留生活污水中的固体杂质（粪便、纸巾等）。通过厌氧发酵分解有机物，减少后续处理负荷</w:t>
      </w:r>
      <w:r w:rsidR="001F717C">
        <w:rPr>
          <w:rFonts w:hint="eastAsia"/>
        </w:rPr>
        <w:t>（应定期清掏，防止堵塞，停留时间通常为12</w:t>
      </w:r>
      <w:r w:rsidR="001F717C">
        <w:t xml:space="preserve"> </w:t>
      </w:r>
      <w:r w:rsidR="001F717C">
        <w:rPr>
          <w:rFonts w:hint="eastAsia"/>
        </w:rPr>
        <w:t>h</w:t>
      </w:r>
      <w:r w:rsidR="001F717C" w:rsidRPr="00CD1E23">
        <w:rPr>
          <w:rFonts w:hAnsi="宋体" w:hint="eastAsia"/>
        </w:rPr>
        <w:t>～</w:t>
      </w:r>
      <w:r w:rsidR="001F717C">
        <w:rPr>
          <w:rFonts w:hint="eastAsia"/>
        </w:rPr>
        <w:t>24</w:t>
      </w:r>
      <w:r w:rsidR="001F717C">
        <w:t xml:space="preserve"> </w:t>
      </w:r>
      <w:r w:rsidR="001F717C">
        <w:rPr>
          <w:rFonts w:hint="eastAsia"/>
        </w:rPr>
        <w:t>h）</w:t>
      </w:r>
      <w:r w:rsidR="00D245CD">
        <w:rPr>
          <w:rFonts w:hint="eastAsia"/>
        </w:rPr>
        <w:t>。</w:t>
      </w:r>
    </w:p>
    <w:p w:rsidR="00D245CD" w:rsidRDefault="00D245CD" w:rsidP="00D245CD">
      <w:pPr>
        <w:pStyle w:val="affe"/>
        <w:spacing w:before="120" w:after="120"/>
      </w:pPr>
      <w:r>
        <w:rPr>
          <w:rFonts w:hint="eastAsia"/>
        </w:rPr>
        <w:t xml:space="preserve">格栅池  </w:t>
      </w:r>
    </w:p>
    <w:p w:rsidR="00D245CD" w:rsidRDefault="00D245CD" w:rsidP="00CD1E23">
      <w:pPr>
        <w:pStyle w:val="affffb"/>
        <w:ind w:firstLine="420"/>
      </w:pPr>
      <w:r>
        <w:rPr>
          <w:rFonts w:hint="eastAsia"/>
        </w:rPr>
        <w:t>物理拦截大颗粒悬浮物</w:t>
      </w:r>
      <w:r w:rsidR="00CD1E23">
        <w:rPr>
          <w:rFonts w:hint="eastAsia"/>
        </w:rPr>
        <w:t>，</w:t>
      </w:r>
      <w:r>
        <w:rPr>
          <w:rFonts w:hint="eastAsia"/>
        </w:rPr>
        <w:t>设置粗细两道格栅（粗格栅间隙20</w:t>
      </w:r>
      <w:r w:rsidR="001F717C">
        <w:t xml:space="preserve"> </w:t>
      </w:r>
      <w:r>
        <w:rPr>
          <w:rFonts w:hint="eastAsia"/>
        </w:rPr>
        <w:t>mm</w:t>
      </w:r>
      <w:r w:rsidRPr="00CD1E23">
        <w:rPr>
          <w:rFonts w:hAnsi="宋体" w:hint="eastAsia"/>
        </w:rPr>
        <w:t>～</w:t>
      </w:r>
      <w:r>
        <w:rPr>
          <w:rFonts w:hint="eastAsia"/>
        </w:rPr>
        <w:t>50</w:t>
      </w:r>
      <w:bookmarkStart w:id="79" w:name="OLE_LINK2"/>
      <w:r w:rsidR="001F717C">
        <w:t xml:space="preserve"> </w:t>
      </w:r>
      <w:r>
        <w:rPr>
          <w:rFonts w:hint="eastAsia"/>
        </w:rPr>
        <w:t>mm</w:t>
      </w:r>
      <w:bookmarkEnd w:id="79"/>
      <w:r>
        <w:rPr>
          <w:rFonts w:hint="eastAsia"/>
        </w:rPr>
        <w:t>，细格栅3</w:t>
      </w:r>
      <w:r w:rsidR="001F717C">
        <w:t xml:space="preserve"> </w:t>
      </w:r>
      <w:r>
        <w:rPr>
          <w:rFonts w:hint="eastAsia"/>
        </w:rPr>
        <w:t>mm</w:t>
      </w:r>
      <w:r w:rsidRPr="00CD1E23">
        <w:rPr>
          <w:rFonts w:hAnsi="宋体" w:hint="eastAsia"/>
        </w:rPr>
        <w:t>～</w:t>
      </w:r>
      <w:r>
        <w:rPr>
          <w:rFonts w:hint="eastAsia"/>
        </w:rPr>
        <w:t>10</w:t>
      </w:r>
      <w:r w:rsidR="001F717C">
        <w:t xml:space="preserve"> </w:t>
      </w:r>
      <w:r>
        <w:rPr>
          <w:rFonts w:hint="eastAsia"/>
        </w:rPr>
        <w:t xml:space="preserve">mm），可去除毛发、塑料、菜叶等杂物。  </w:t>
      </w:r>
    </w:p>
    <w:p w:rsidR="00D245CD" w:rsidRDefault="00D245CD" w:rsidP="00D245CD">
      <w:pPr>
        <w:pStyle w:val="affe"/>
        <w:spacing w:before="120" w:after="120"/>
      </w:pPr>
      <w:r>
        <w:rPr>
          <w:rFonts w:hint="eastAsia"/>
        </w:rPr>
        <w:t xml:space="preserve">调节池  </w:t>
      </w:r>
    </w:p>
    <w:p w:rsidR="00D245CD" w:rsidRDefault="00CD1E23" w:rsidP="00CD1E23">
      <w:pPr>
        <w:pStyle w:val="affffb"/>
        <w:ind w:firstLine="420"/>
      </w:pPr>
      <w:r>
        <w:rPr>
          <w:rFonts w:hint="eastAsia"/>
        </w:rPr>
        <w:t>均衡水质水量。</w:t>
      </w:r>
      <w:r w:rsidR="00D245CD">
        <w:rPr>
          <w:rFonts w:hint="eastAsia"/>
        </w:rPr>
        <w:t xml:space="preserve">调节池暂存污水并混合均匀，避免冲击后续生化处理系统。  </w:t>
      </w:r>
    </w:p>
    <w:p w:rsidR="00D245CD" w:rsidRDefault="00D245CD" w:rsidP="00D245CD">
      <w:pPr>
        <w:pStyle w:val="affe"/>
        <w:spacing w:before="120" w:after="120"/>
      </w:pPr>
      <w:r>
        <w:rPr>
          <w:rFonts w:hint="eastAsia"/>
        </w:rPr>
        <w:t xml:space="preserve">厌氧池  </w:t>
      </w:r>
    </w:p>
    <w:p w:rsidR="00D245CD" w:rsidRDefault="00D245CD" w:rsidP="00CD1E23">
      <w:pPr>
        <w:pStyle w:val="affffb"/>
        <w:ind w:firstLine="420"/>
      </w:pPr>
      <w:r>
        <w:rPr>
          <w:rFonts w:hint="eastAsia"/>
        </w:rPr>
        <w:t>高效降解有机物。在缺氧条件下（溶解氧DO</w:t>
      </w:r>
      <w:r w:rsidR="001F717C">
        <w:rPr>
          <w:rFonts w:hint="eastAsia"/>
        </w:rPr>
        <w:t>＜</w:t>
      </w:r>
      <w:r>
        <w:rPr>
          <w:rFonts w:hint="eastAsia"/>
        </w:rPr>
        <w:t>0.2</w:t>
      </w:r>
      <w:r w:rsidR="001F717C">
        <w:t xml:space="preserve"> </w:t>
      </w:r>
      <w:r>
        <w:rPr>
          <w:rFonts w:hint="eastAsia"/>
        </w:rPr>
        <w:t>mg/L），厌氧菌分解大分子有机物（如蛋白质、脂肪）为小分子酸类，降低COD（化学需氧量）。无需曝气，能耗低，产生少量沼气。</w:t>
      </w:r>
    </w:p>
    <w:p w:rsidR="00D245CD" w:rsidRDefault="00D245CD" w:rsidP="00D245CD">
      <w:pPr>
        <w:pStyle w:val="affe"/>
        <w:spacing w:before="120" w:after="120"/>
      </w:pPr>
      <w:r>
        <w:rPr>
          <w:rFonts w:hint="eastAsia"/>
        </w:rPr>
        <w:t xml:space="preserve">缺氧池  </w:t>
      </w:r>
    </w:p>
    <w:p w:rsidR="00D245CD" w:rsidRDefault="00D245CD" w:rsidP="00CD1E23">
      <w:pPr>
        <w:pStyle w:val="affffb"/>
        <w:ind w:firstLine="420"/>
      </w:pPr>
      <w:r>
        <w:rPr>
          <w:rFonts w:hint="eastAsia"/>
        </w:rPr>
        <w:t>反硝化脱氮。利用兼性菌将好氧池回流的硝酸盐（</w:t>
      </w:r>
      <w:r>
        <w:t>NO</w:t>
      </w:r>
      <w:r>
        <w:t>₃⁻</w:t>
      </w:r>
      <w:r>
        <w:rPr>
          <w:rFonts w:hint="eastAsia"/>
        </w:rPr>
        <w:t>）还原为氮气（</w:t>
      </w:r>
      <w:r>
        <w:t>N</w:t>
      </w:r>
      <w:r>
        <w:t>₂</w:t>
      </w:r>
      <w:r>
        <w:rPr>
          <w:rFonts w:hint="eastAsia"/>
        </w:rPr>
        <w:t>）释放，同时进一步分解有机物。</w:t>
      </w:r>
      <w:r>
        <w:t>DO</w:t>
      </w:r>
      <w:r>
        <w:rPr>
          <w:rFonts w:hint="eastAsia"/>
        </w:rPr>
        <w:t>控制在</w:t>
      </w:r>
      <w:r>
        <w:t>0.20.5</w:t>
      </w:r>
      <w:r w:rsidR="001F717C">
        <w:t xml:space="preserve"> </w:t>
      </w:r>
      <w:r>
        <w:t>mg/L</w:t>
      </w:r>
      <w:r>
        <w:rPr>
          <w:rFonts w:hint="eastAsia"/>
        </w:rPr>
        <w:t>。</w:t>
      </w:r>
    </w:p>
    <w:p w:rsidR="00D245CD" w:rsidRDefault="00D245CD" w:rsidP="00D245CD">
      <w:pPr>
        <w:pStyle w:val="affe"/>
        <w:spacing w:before="120" w:after="120"/>
      </w:pPr>
      <w:r>
        <w:rPr>
          <w:rFonts w:hint="eastAsia"/>
        </w:rPr>
        <w:t xml:space="preserve">好氧池  </w:t>
      </w:r>
    </w:p>
    <w:p w:rsidR="00D245CD" w:rsidRDefault="00D245CD" w:rsidP="00CD1E23">
      <w:pPr>
        <w:pStyle w:val="affffb"/>
        <w:ind w:firstLine="420"/>
      </w:pPr>
      <w:r>
        <w:rPr>
          <w:rFonts w:hint="eastAsia"/>
        </w:rPr>
        <w:t>深度氧化与硝化。通过曝气维持高溶解氧（</w:t>
      </w:r>
      <w:r>
        <w:t>DO=24</w:t>
      </w:r>
      <w:r w:rsidR="001F717C">
        <w:t xml:space="preserve"> </w:t>
      </w:r>
      <w:r>
        <w:t>mg/L</w:t>
      </w:r>
      <w:r>
        <w:rPr>
          <w:rFonts w:hint="eastAsia"/>
        </w:rPr>
        <w:t>），好氧菌降解剩余有机物，并将氨氮（</w:t>
      </w:r>
      <w:r>
        <w:t>NH</w:t>
      </w:r>
      <w:r>
        <w:t>₄⁺</w:t>
      </w:r>
      <w:r>
        <w:rPr>
          <w:rFonts w:hint="eastAsia"/>
        </w:rPr>
        <w:t>）转化为硝酸盐（</w:t>
      </w:r>
      <w:r>
        <w:t>NO</w:t>
      </w:r>
      <w:r>
        <w:t>₃⁻</w:t>
      </w:r>
      <w:r>
        <w:rPr>
          <w:rFonts w:hint="eastAsia"/>
        </w:rPr>
        <w:t>）。提供氧气，推动微生物反应，噪音小，不扰民。</w:t>
      </w:r>
      <w:r w:rsidR="00612D40">
        <w:rPr>
          <w:rFonts w:hint="eastAsia"/>
        </w:rPr>
        <w:t>同时可</w:t>
      </w:r>
      <w:r>
        <w:rPr>
          <w:rFonts w:hint="eastAsia"/>
        </w:rPr>
        <w:t>高效扩散氧气，提升传质效率。</w:t>
      </w:r>
    </w:p>
    <w:p w:rsidR="00D245CD" w:rsidRDefault="00D245CD" w:rsidP="00D245CD">
      <w:pPr>
        <w:pStyle w:val="affe"/>
        <w:spacing w:before="120" w:after="120"/>
      </w:pPr>
      <w:r>
        <w:rPr>
          <w:rFonts w:hint="eastAsia"/>
        </w:rPr>
        <w:t xml:space="preserve">污泥池  </w:t>
      </w:r>
    </w:p>
    <w:p w:rsidR="00D245CD" w:rsidRDefault="00D245CD" w:rsidP="00CD1E23">
      <w:pPr>
        <w:pStyle w:val="affffb"/>
        <w:ind w:firstLine="420"/>
      </w:pPr>
      <w:r>
        <w:rPr>
          <w:rFonts w:hint="eastAsia"/>
        </w:rPr>
        <w:t>污泥浓缩与回流。收集好氧池和沉淀池的剩余污泥，浓缩后部分回流至厌氧</w:t>
      </w:r>
      <w:r w:rsidR="001F717C">
        <w:rPr>
          <w:rFonts w:hint="eastAsia"/>
        </w:rPr>
        <w:t>或</w:t>
      </w:r>
      <w:r>
        <w:rPr>
          <w:rFonts w:hint="eastAsia"/>
        </w:rPr>
        <w:t>缺氧池维持菌群活性，剩余污泥定期外运处理。实现污泥回流。</w:t>
      </w:r>
    </w:p>
    <w:p w:rsidR="00D245CD" w:rsidRDefault="00D245CD" w:rsidP="00D245CD">
      <w:pPr>
        <w:pStyle w:val="affe"/>
        <w:spacing w:before="120" w:after="120"/>
      </w:pPr>
      <w:r>
        <w:rPr>
          <w:rFonts w:hint="eastAsia"/>
        </w:rPr>
        <w:t xml:space="preserve">人工湿地  </w:t>
      </w:r>
    </w:p>
    <w:p w:rsidR="00D245CD" w:rsidRDefault="00D245CD" w:rsidP="00CD1E23">
      <w:pPr>
        <w:pStyle w:val="affffb"/>
        <w:ind w:firstLine="420"/>
      </w:pPr>
      <w:r>
        <w:rPr>
          <w:rFonts w:hint="eastAsia"/>
        </w:rPr>
        <w:t xml:space="preserve">生态深度处理。利用砾石、砂土基质及水生植物（芦苇、菖蒲等）的吸附、过滤和微生物作用，进一步去除氮磷及微量污染物，提升出水水质。  </w:t>
      </w:r>
    </w:p>
    <w:p w:rsidR="008908B3" w:rsidRDefault="007A536B" w:rsidP="00BC052C">
      <w:pPr>
        <w:pStyle w:val="affc"/>
        <w:spacing w:before="240" w:after="240"/>
      </w:pPr>
      <w:bookmarkStart w:id="80" w:name="_Toc201845484"/>
      <w:bookmarkStart w:id="81" w:name="_Toc201847404"/>
      <w:r>
        <w:rPr>
          <w:rFonts w:hint="eastAsia"/>
        </w:rPr>
        <w:t>设备主体</w:t>
      </w:r>
      <w:bookmarkEnd w:id="72"/>
      <w:bookmarkEnd w:id="73"/>
      <w:bookmarkEnd w:id="74"/>
      <w:bookmarkEnd w:id="80"/>
      <w:bookmarkEnd w:id="81"/>
    </w:p>
    <w:p w:rsidR="007A536B" w:rsidRDefault="00506C27" w:rsidP="007A536B">
      <w:pPr>
        <w:pStyle w:val="affffffffe"/>
      </w:pPr>
      <w:r>
        <w:rPr>
          <w:rFonts w:hint="eastAsia"/>
        </w:rPr>
        <w:lastRenderedPageBreak/>
        <w:t>设备的</w:t>
      </w:r>
      <w:r w:rsidR="007A536B" w:rsidRPr="007A536B">
        <w:rPr>
          <w:rFonts w:hint="eastAsia"/>
        </w:rPr>
        <w:t>主体呈圆柱形，结构简单、受力均匀</w:t>
      </w:r>
      <w:r>
        <w:rPr>
          <w:rFonts w:hint="eastAsia"/>
        </w:rPr>
        <w:t>。</w:t>
      </w:r>
    </w:p>
    <w:p w:rsidR="00506C27" w:rsidRDefault="00506C27" w:rsidP="007A536B">
      <w:pPr>
        <w:pStyle w:val="affffffffe"/>
      </w:pPr>
      <w:r>
        <w:rPr>
          <w:rFonts w:hint="eastAsia"/>
        </w:rPr>
        <w:t>设备包括提升泵、曝气系统、控制柜、远程运</w:t>
      </w:r>
      <w:proofErr w:type="gramStart"/>
      <w:r>
        <w:rPr>
          <w:rFonts w:hint="eastAsia"/>
        </w:rPr>
        <w:t>维系统</w:t>
      </w:r>
      <w:proofErr w:type="gramEnd"/>
      <w:r w:rsidR="00C84189">
        <w:rPr>
          <w:rFonts w:hint="eastAsia"/>
        </w:rPr>
        <w:t>等，应符合下列要求：</w:t>
      </w:r>
    </w:p>
    <w:p w:rsidR="00C84189" w:rsidRDefault="00C84189" w:rsidP="00C84189">
      <w:pPr>
        <w:pStyle w:val="af2"/>
      </w:pPr>
      <w:r>
        <w:rPr>
          <w:rFonts w:hint="eastAsia"/>
        </w:rPr>
        <w:t>将污水从调节池</w:t>
      </w:r>
      <w:r w:rsidR="009C6BEA">
        <w:rPr>
          <w:rFonts w:hint="eastAsia"/>
        </w:rPr>
        <w:t>或</w:t>
      </w:r>
      <w:r>
        <w:rPr>
          <w:rFonts w:hint="eastAsia"/>
        </w:rPr>
        <w:t>化粪池输送至后续单元，采用耐磨泵</w:t>
      </w:r>
      <w:r w:rsidR="009C6BEA">
        <w:rPr>
          <w:rFonts w:hint="eastAsia"/>
        </w:rPr>
        <w:t>，</w:t>
      </w:r>
      <w:r>
        <w:rPr>
          <w:rFonts w:hint="eastAsia"/>
        </w:rPr>
        <w:t>防止纤维物堵塞</w:t>
      </w:r>
      <w:r w:rsidR="006B5008">
        <w:rPr>
          <w:rFonts w:hint="eastAsia"/>
        </w:rPr>
        <w:t>；</w:t>
      </w:r>
    </w:p>
    <w:p w:rsidR="00C84189" w:rsidRDefault="00C84189" w:rsidP="00C84189">
      <w:pPr>
        <w:pStyle w:val="af2"/>
      </w:pPr>
      <w:r>
        <w:rPr>
          <w:rFonts w:hint="eastAsia"/>
        </w:rPr>
        <w:t>含风机+曝气盘，</w:t>
      </w:r>
      <w:proofErr w:type="gramStart"/>
      <w:r>
        <w:rPr>
          <w:rFonts w:hint="eastAsia"/>
        </w:rPr>
        <w:t>为好氧池供氧</w:t>
      </w:r>
      <w:proofErr w:type="gramEnd"/>
      <w:r>
        <w:rPr>
          <w:rFonts w:hint="eastAsia"/>
        </w:rPr>
        <w:t>，维持微生物活性</w:t>
      </w:r>
      <w:r w:rsidR="009C6BEA">
        <w:rPr>
          <w:rFonts w:hint="eastAsia"/>
        </w:rPr>
        <w:t>。</w:t>
      </w:r>
      <w:r>
        <w:rPr>
          <w:rFonts w:hint="eastAsia"/>
        </w:rPr>
        <w:t>可调节气量以节能。噪音小</w:t>
      </w:r>
      <w:r w:rsidR="006B5008">
        <w:rPr>
          <w:rFonts w:hint="eastAsia"/>
        </w:rPr>
        <w:t>，</w:t>
      </w:r>
      <w:proofErr w:type="gramStart"/>
      <w:r>
        <w:rPr>
          <w:rFonts w:hint="eastAsia"/>
        </w:rPr>
        <w:t>不</w:t>
      </w:r>
      <w:proofErr w:type="gramEnd"/>
      <w:r>
        <w:rPr>
          <w:rFonts w:hint="eastAsia"/>
        </w:rPr>
        <w:t>扰民</w:t>
      </w:r>
      <w:r w:rsidR="006B5008">
        <w:rPr>
          <w:rFonts w:hint="eastAsia"/>
        </w:rPr>
        <w:t>；</w:t>
      </w:r>
    </w:p>
    <w:p w:rsidR="00C84189" w:rsidRDefault="00C84189" w:rsidP="00C84189">
      <w:pPr>
        <w:pStyle w:val="af2"/>
      </w:pPr>
      <w:r>
        <w:rPr>
          <w:rFonts w:hint="eastAsia"/>
        </w:rPr>
        <w:t>集成PLC</w:t>
      </w:r>
      <w:r w:rsidR="009C6BEA">
        <w:rPr>
          <w:rFonts w:hint="eastAsia"/>
        </w:rPr>
        <w:t>或</w:t>
      </w:r>
      <w:r>
        <w:rPr>
          <w:rFonts w:hint="eastAsia"/>
        </w:rPr>
        <w:t>单片机，自动控制水泵启停、曝气时长、故障报警，实现无人值守运行</w:t>
      </w:r>
      <w:r w:rsidR="006B5008">
        <w:rPr>
          <w:rFonts w:hint="eastAsia"/>
        </w:rPr>
        <w:t>；</w:t>
      </w:r>
    </w:p>
    <w:p w:rsidR="00C84189" w:rsidRDefault="00C84189" w:rsidP="00C84189">
      <w:pPr>
        <w:pStyle w:val="af2"/>
      </w:pPr>
      <w:r>
        <w:rPr>
          <w:rFonts w:hint="eastAsia"/>
        </w:rPr>
        <w:t>通过物联网实时监测设备状态，远程调试参数并预警故障</w:t>
      </w:r>
      <w:r w:rsidR="006B5008">
        <w:rPr>
          <w:rFonts w:hint="eastAsia"/>
        </w:rPr>
        <w:t>。</w:t>
      </w:r>
    </w:p>
    <w:p w:rsidR="001F717C" w:rsidRDefault="00C84189" w:rsidP="00C84189">
      <w:pPr>
        <w:pStyle w:val="affffffffe"/>
      </w:pPr>
      <w:r>
        <w:rPr>
          <w:rFonts w:hint="eastAsia"/>
        </w:rPr>
        <w:t>轻量化特质(密度仅为钢材的1/4)与高强度特性并存，耐酸碱腐蚀、抗冻融循环，可在-50℃至80℃极端环境下稳定运行，</w:t>
      </w:r>
    </w:p>
    <w:p w:rsidR="00C84189" w:rsidRDefault="00C84189" w:rsidP="00C84189">
      <w:pPr>
        <w:pStyle w:val="affffffffe"/>
      </w:pPr>
      <w:r>
        <w:rPr>
          <w:rFonts w:hint="eastAsia"/>
        </w:rPr>
        <w:t>使用寿命长达50</w:t>
      </w:r>
      <w:r w:rsidR="001F717C">
        <w:rPr>
          <w:rFonts w:hint="eastAsia"/>
        </w:rPr>
        <w:t>年，日均处理污水大于2</w:t>
      </w:r>
      <w:r w:rsidR="001F717C">
        <w:t>00</w:t>
      </w:r>
      <w:r w:rsidR="00612D40">
        <w:t xml:space="preserve"> </w:t>
      </w:r>
      <w:r w:rsidR="001F717C">
        <w:rPr>
          <w:rFonts w:hint="eastAsia"/>
        </w:rPr>
        <w:t>t，</w:t>
      </w:r>
      <w:r>
        <w:rPr>
          <w:rFonts w:hint="eastAsia"/>
        </w:rPr>
        <w:t>全密封结构渗透系数低至1</w:t>
      </w:r>
      <w:r w:rsidR="001F717C">
        <w:rPr>
          <w:rFonts w:hint="eastAsia"/>
        </w:rPr>
        <w:t>×</w:t>
      </w:r>
      <w:r>
        <w:rPr>
          <w:rFonts w:hint="eastAsia"/>
        </w:rPr>
        <w:t>10-9cm/s</w:t>
      </w:r>
      <w:r w:rsidR="001F717C">
        <w:rPr>
          <w:rFonts w:hint="eastAsia"/>
        </w:rPr>
        <w:t>。</w:t>
      </w:r>
    </w:p>
    <w:p w:rsidR="00C84189" w:rsidRDefault="00C84189" w:rsidP="00C84189">
      <w:pPr>
        <w:pStyle w:val="affffffffe"/>
      </w:pPr>
      <w:r w:rsidRPr="00C84189">
        <w:rPr>
          <w:rFonts w:hint="eastAsia"/>
        </w:rPr>
        <w:t>玻璃纤维含量</w:t>
      </w:r>
      <w:r w:rsidR="00593CA6">
        <w:rPr>
          <w:rFonts w:hint="eastAsia"/>
        </w:rPr>
        <w:t>不小于</w:t>
      </w:r>
      <w:r w:rsidRPr="00C84189">
        <w:rPr>
          <w:rFonts w:hint="eastAsia"/>
        </w:rPr>
        <w:t>35%，并通过1.5倍设计压力满载测试</w:t>
      </w:r>
      <w:r w:rsidR="00456D5D">
        <w:rPr>
          <w:rFonts w:hint="eastAsia"/>
        </w:rPr>
        <w:t>。</w:t>
      </w:r>
    </w:p>
    <w:p w:rsidR="00C84189" w:rsidRDefault="00C84189" w:rsidP="00C84189">
      <w:pPr>
        <w:pStyle w:val="affffffffe"/>
      </w:pPr>
      <w:r w:rsidRPr="00C84189">
        <w:rPr>
          <w:rFonts w:hint="eastAsia"/>
        </w:rPr>
        <w:t>设备应设置应急溢流口、检修排空口、检修人孔和通气排风口。</w:t>
      </w:r>
    </w:p>
    <w:p w:rsidR="00C84189" w:rsidRDefault="00C84189" w:rsidP="00C84189">
      <w:pPr>
        <w:pStyle w:val="affffffffe"/>
      </w:pPr>
      <w:r>
        <w:rPr>
          <w:rFonts w:hint="eastAsia"/>
        </w:rPr>
        <w:t>设备处理出水有消毒要求时,应配备消毒设施。</w:t>
      </w:r>
    </w:p>
    <w:p w:rsidR="00456D5D" w:rsidRDefault="00456D5D" w:rsidP="00456D5D">
      <w:pPr>
        <w:pStyle w:val="affffffffe"/>
      </w:pPr>
      <w:r>
        <w:rPr>
          <w:rFonts w:hint="eastAsia"/>
        </w:rPr>
        <w:t>设备外壳及附属物(件)应利于安装、检修和擦拭。</w:t>
      </w:r>
    </w:p>
    <w:p w:rsidR="00C84189" w:rsidRPr="007A536B" w:rsidRDefault="00C84189" w:rsidP="00C84189">
      <w:pPr>
        <w:pStyle w:val="affffffffe"/>
      </w:pPr>
      <w:r>
        <w:rPr>
          <w:rFonts w:hint="eastAsia"/>
        </w:rPr>
        <w:t>设备污水处理工艺设计应符合GB</w:t>
      </w:r>
      <w:r w:rsidR="00456D5D">
        <w:t xml:space="preserve"> </w:t>
      </w:r>
      <w:r>
        <w:rPr>
          <w:rFonts w:hint="eastAsia"/>
        </w:rPr>
        <w:t>50014的相关规定。</w:t>
      </w:r>
    </w:p>
    <w:p w:rsidR="00C84189" w:rsidRDefault="002F7956" w:rsidP="00AD122F">
      <w:pPr>
        <w:pStyle w:val="affc"/>
        <w:spacing w:before="240" w:after="240"/>
      </w:pPr>
      <w:bookmarkStart w:id="82" w:name="_Toc201845485"/>
      <w:bookmarkStart w:id="83" w:name="_Toc201847405"/>
      <w:bookmarkStart w:id="84" w:name="_Toc201671813"/>
      <w:bookmarkStart w:id="85" w:name="_Toc201672548"/>
      <w:bookmarkStart w:id="86" w:name="_Toc201676155"/>
      <w:r>
        <w:rPr>
          <w:rFonts w:hint="eastAsia"/>
        </w:rPr>
        <w:t>技术要求</w:t>
      </w:r>
      <w:bookmarkEnd w:id="82"/>
      <w:bookmarkEnd w:id="83"/>
    </w:p>
    <w:p w:rsidR="00CD1E23" w:rsidRDefault="00CD1E23" w:rsidP="004D4712">
      <w:pPr>
        <w:pStyle w:val="affd"/>
        <w:spacing w:before="120" w:after="120"/>
      </w:pPr>
      <w:bookmarkStart w:id="87" w:name="_Toc201845486"/>
      <w:bookmarkStart w:id="88" w:name="_Toc201847406"/>
      <w:r>
        <w:rPr>
          <w:rFonts w:hint="eastAsia"/>
        </w:rPr>
        <w:t>材料要求</w:t>
      </w:r>
      <w:bookmarkEnd w:id="87"/>
      <w:bookmarkEnd w:id="88"/>
    </w:p>
    <w:p w:rsidR="00CD1E23" w:rsidRDefault="00CD1E23" w:rsidP="006B5008">
      <w:pPr>
        <w:pStyle w:val="affffb"/>
        <w:ind w:firstLine="420"/>
      </w:pPr>
      <w:r>
        <w:rPr>
          <w:rFonts w:hint="eastAsia"/>
        </w:rPr>
        <w:t>增强材料应采用无碱玻璃纤维，玻璃纤维应符合GB/T</w:t>
      </w:r>
      <w:r w:rsidR="00593CA6">
        <w:t xml:space="preserve"> </w:t>
      </w:r>
      <w:r>
        <w:rPr>
          <w:rFonts w:hint="eastAsia"/>
        </w:rPr>
        <w:t>18369的规定，并且拉伸强度应不小于0.4</w:t>
      </w:r>
      <w:r w:rsidR="006B5008">
        <w:t xml:space="preserve"> </w:t>
      </w:r>
      <w:r>
        <w:rPr>
          <w:rFonts w:hint="eastAsia"/>
        </w:rPr>
        <w:t>N/tex。</w:t>
      </w:r>
    </w:p>
    <w:p w:rsidR="00CD1E23" w:rsidRPr="00CD1E23" w:rsidRDefault="00CD1E23" w:rsidP="006B5008">
      <w:pPr>
        <w:pStyle w:val="afff2"/>
      </w:pPr>
      <w:r>
        <w:rPr>
          <w:rFonts w:hint="eastAsia"/>
        </w:rPr>
        <w:t>在需要特殊条件下应用时，经供需双方商定后，可采用性能满足要求的其他树脂和增强材料。</w:t>
      </w:r>
    </w:p>
    <w:p w:rsidR="002F7956" w:rsidRDefault="002F7956" w:rsidP="004D4712">
      <w:pPr>
        <w:pStyle w:val="affd"/>
        <w:spacing w:before="120" w:after="120"/>
      </w:pPr>
      <w:bookmarkStart w:id="89" w:name="_Toc201845487"/>
      <w:bookmarkStart w:id="90" w:name="_Toc201847407"/>
      <w:r>
        <w:rPr>
          <w:rFonts w:hint="eastAsia"/>
        </w:rPr>
        <w:t>外观要求</w:t>
      </w:r>
      <w:bookmarkEnd w:id="89"/>
      <w:bookmarkEnd w:id="90"/>
    </w:p>
    <w:p w:rsidR="00456D5D" w:rsidRDefault="00456D5D" w:rsidP="00456D5D">
      <w:pPr>
        <w:pStyle w:val="afffffffff1"/>
      </w:pPr>
      <w:r>
        <w:rPr>
          <w:rFonts w:hint="eastAsia"/>
        </w:rPr>
        <w:t>一般为橄榄绿、浅灰等环保色系，表面光滑无毛刺，无明显气泡、裂纹、纤维外露等缺陷。色泽应均匀一致，无明显色差。</w:t>
      </w:r>
      <w:r>
        <w:rPr>
          <w:rFonts w:ascii="MS Gothic" w:eastAsia="MS Gothic" w:hAnsi="MS Gothic" w:cs="MS Gothic" w:hint="eastAsia"/>
        </w:rPr>
        <w:t>​</w:t>
      </w:r>
    </w:p>
    <w:p w:rsidR="002F7956" w:rsidRDefault="009C6BEA" w:rsidP="00CD1E23">
      <w:pPr>
        <w:pStyle w:val="afffffffff1"/>
      </w:pPr>
      <w:r>
        <w:rPr>
          <w:rFonts w:hint="eastAsia"/>
        </w:rPr>
        <w:t>设备</w:t>
      </w:r>
      <w:r w:rsidR="004D4712">
        <w:rPr>
          <w:rFonts w:hint="eastAsia"/>
        </w:rPr>
        <w:t>的接口部位应平整、紧密，无错位、缝隙过大等现象，确保连接的密封性和强度。</w:t>
      </w:r>
    </w:p>
    <w:p w:rsidR="004D4712" w:rsidRDefault="004D4712" w:rsidP="004D4712">
      <w:pPr>
        <w:pStyle w:val="affd"/>
        <w:spacing w:before="120" w:after="120"/>
      </w:pPr>
      <w:bookmarkStart w:id="91" w:name="_Toc201845488"/>
      <w:bookmarkStart w:id="92" w:name="_Toc201847408"/>
      <w:r>
        <w:rPr>
          <w:rFonts w:hint="eastAsia"/>
        </w:rPr>
        <w:t>制造要求</w:t>
      </w:r>
      <w:bookmarkEnd w:id="91"/>
      <w:bookmarkEnd w:id="92"/>
    </w:p>
    <w:p w:rsidR="00456D5D" w:rsidRDefault="00456D5D" w:rsidP="00456D5D">
      <w:pPr>
        <w:pStyle w:val="afffffffff1"/>
      </w:pPr>
      <w:r>
        <w:rPr>
          <w:rFonts w:hint="eastAsia"/>
        </w:rPr>
        <w:t>设备以高强度玻璃纤维复合材料为主体，结合不饱和聚酯树脂，通过先进的数控缠绕工艺精制而成。</w:t>
      </w:r>
    </w:p>
    <w:p w:rsidR="006B5008" w:rsidRDefault="006B5008" w:rsidP="00456D5D">
      <w:pPr>
        <w:pStyle w:val="afffffffff1"/>
      </w:pPr>
      <w:r>
        <w:rPr>
          <w:rFonts w:hint="eastAsia"/>
        </w:rPr>
        <w:t>当设备采用玻璃钢制造时,壳体材料厚度应不小于8mm,设备长期使用时应不发生变形。</w:t>
      </w:r>
    </w:p>
    <w:p w:rsidR="006B5008" w:rsidRDefault="006B5008" w:rsidP="00456D5D">
      <w:pPr>
        <w:pStyle w:val="afffffffff1"/>
      </w:pPr>
      <w:r>
        <w:rPr>
          <w:rFonts w:hint="eastAsia"/>
        </w:rPr>
        <w:t>设备的焊接、热处理及其他制造要求应符合NB/T</w:t>
      </w:r>
      <w:r w:rsidR="00E114A4">
        <w:t xml:space="preserve"> </w:t>
      </w:r>
      <w:r>
        <w:rPr>
          <w:rFonts w:hint="eastAsia"/>
        </w:rPr>
        <w:t>10790的相关规定。</w:t>
      </w:r>
    </w:p>
    <w:p w:rsidR="00456D5D" w:rsidRDefault="00456D5D" w:rsidP="00456D5D">
      <w:pPr>
        <w:pStyle w:val="afffffffff1"/>
      </w:pPr>
      <w:r>
        <w:rPr>
          <w:rFonts w:hint="eastAsia"/>
        </w:rPr>
        <w:t>采用ANSYS结构计算软件进行强度与刚度优化，独创简体加凹凸面车轮形封头结构，确保壁厚均匀、密封性卓越，</w:t>
      </w:r>
      <w:r w:rsidRPr="00C84189">
        <w:rPr>
          <w:rFonts w:hint="eastAsia"/>
        </w:rPr>
        <w:t>厚度误差严格控制在0.5</w:t>
      </w:r>
      <w:r>
        <w:rPr>
          <w:rFonts w:hint="eastAsia"/>
        </w:rPr>
        <w:t>mm</w:t>
      </w:r>
      <w:r w:rsidRPr="00C84189">
        <w:rPr>
          <w:rFonts w:hint="eastAsia"/>
        </w:rPr>
        <w:t>以内</w:t>
      </w:r>
      <w:r>
        <w:rPr>
          <w:rFonts w:hint="eastAsia"/>
        </w:rPr>
        <w:t>。</w:t>
      </w:r>
    </w:p>
    <w:p w:rsidR="00456D5D" w:rsidRPr="004D4712" w:rsidRDefault="00456D5D" w:rsidP="00456D5D">
      <w:pPr>
        <w:pStyle w:val="afffffffff1"/>
      </w:pPr>
      <w:r>
        <w:rPr>
          <w:rFonts w:hint="eastAsia"/>
        </w:rPr>
        <w:t>焊接件焊缝外观应符合GB</w:t>
      </w:r>
      <w:r>
        <w:t xml:space="preserve"> </w:t>
      </w:r>
      <w:r>
        <w:rPr>
          <w:rFonts w:hint="eastAsia"/>
        </w:rPr>
        <w:t>50661的相关规定。</w:t>
      </w:r>
    </w:p>
    <w:p w:rsidR="002F7956" w:rsidRDefault="002F7956" w:rsidP="004D4712">
      <w:pPr>
        <w:pStyle w:val="affd"/>
        <w:spacing w:before="120" w:after="120"/>
      </w:pPr>
      <w:bookmarkStart w:id="93" w:name="_Toc201845489"/>
      <w:bookmarkStart w:id="94" w:name="_Toc201847409"/>
      <w:r>
        <w:rPr>
          <w:rFonts w:hint="eastAsia"/>
        </w:rPr>
        <w:t>尺寸偏差</w:t>
      </w:r>
      <w:bookmarkEnd w:id="93"/>
      <w:bookmarkEnd w:id="94"/>
    </w:p>
    <w:p w:rsidR="004D4712" w:rsidRDefault="009C6BEA" w:rsidP="00456D5D">
      <w:pPr>
        <w:pStyle w:val="afffffffff1"/>
      </w:pPr>
      <w:r>
        <w:rPr>
          <w:rFonts w:hint="eastAsia"/>
        </w:rPr>
        <w:t>设备</w:t>
      </w:r>
      <w:r w:rsidR="004D4712" w:rsidRPr="004D4712">
        <w:rPr>
          <w:rFonts w:hint="eastAsia"/>
        </w:rPr>
        <w:t>的直径、长度、壁厚等尺寸偏差应符合设计图纸的规定。直径偏差不应超过±0.5%，长度偏差不应超过±1%，壁厚偏差不应超过±0.2mm。</w:t>
      </w:r>
    </w:p>
    <w:p w:rsidR="004D4712" w:rsidRPr="004D4712" w:rsidRDefault="009C6BEA" w:rsidP="00456D5D">
      <w:pPr>
        <w:pStyle w:val="afffffffff1"/>
      </w:pPr>
      <w:r>
        <w:rPr>
          <w:rFonts w:hint="eastAsia"/>
        </w:rPr>
        <w:t>设备</w:t>
      </w:r>
      <w:r w:rsidR="004D4712" w:rsidRPr="004D4712">
        <w:rPr>
          <w:rFonts w:hint="eastAsia"/>
        </w:rPr>
        <w:t>上的开孔位置、尺寸及形状应符合设计要求，偏差应在允许范围内，以保证与内部组件及外部管道的正确连接。</w:t>
      </w:r>
    </w:p>
    <w:p w:rsidR="002F7956" w:rsidRDefault="002F7956" w:rsidP="004D4712">
      <w:pPr>
        <w:pStyle w:val="affd"/>
        <w:spacing w:before="120" w:after="120"/>
      </w:pPr>
      <w:bookmarkStart w:id="95" w:name="_Toc201845490"/>
      <w:bookmarkStart w:id="96" w:name="_Toc201847410"/>
      <w:r>
        <w:rPr>
          <w:rFonts w:hint="eastAsia"/>
        </w:rPr>
        <w:t>工作环境</w:t>
      </w:r>
      <w:bookmarkEnd w:id="95"/>
      <w:bookmarkEnd w:id="96"/>
    </w:p>
    <w:p w:rsidR="002F7956" w:rsidRDefault="002F7956" w:rsidP="003476CB">
      <w:pPr>
        <w:pStyle w:val="afffffffff1"/>
      </w:pPr>
      <w:bookmarkStart w:id="97" w:name="OLE_LINK43"/>
      <w:bookmarkStart w:id="98" w:name="OLE_LINK44"/>
      <w:proofErr w:type="gramStart"/>
      <w:r>
        <w:rPr>
          <w:rFonts w:hint="eastAsia"/>
        </w:rPr>
        <w:t>地上式设备</w:t>
      </w:r>
      <w:proofErr w:type="gramEnd"/>
      <w:r>
        <w:rPr>
          <w:rFonts w:hint="eastAsia"/>
        </w:rPr>
        <w:t>工作环境温度宜为0℃</w:t>
      </w:r>
      <w:bookmarkStart w:id="99" w:name="OLE_LINK16"/>
      <w:r w:rsidR="003476CB">
        <w:rPr>
          <w:rFonts w:hAnsi="宋体" w:hint="eastAsia"/>
        </w:rPr>
        <w:t>～</w:t>
      </w:r>
      <w:bookmarkEnd w:id="99"/>
      <w:r>
        <w:rPr>
          <w:rFonts w:hint="eastAsia"/>
        </w:rPr>
        <w:t>55℃,半地埋式和地埋</w:t>
      </w:r>
      <w:proofErr w:type="gramStart"/>
      <w:r>
        <w:rPr>
          <w:rFonts w:hint="eastAsia"/>
        </w:rPr>
        <w:t>式设备</w:t>
      </w:r>
      <w:proofErr w:type="gramEnd"/>
      <w:r>
        <w:rPr>
          <w:rFonts w:hint="eastAsia"/>
        </w:rPr>
        <w:t>工作地表环境温度宜为-15℃</w:t>
      </w:r>
      <w:r w:rsidR="003476CB" w:rsidRPr="003476CB">
        <w:rPr>
          <w:rFonts w:hAnsi="宋体" w:hint="eastAsia"/>
        </w:rPr>
        <w:t>～</w:t>
      </w:r>
      <w:r>
        <w:rPr>
          <w:rFonts w:hint="eastAsia"/>
        </w:rPr>
        <w:t>55℃,</w:t>
      </w:r>
      <w:bookmarkEnd w:id="97"/>
      <w:bookmarkEnd w:id="98"/>
      <w:r>
        <w:rPr>
          <w:rFonts w:hint="eastAsia"/>
        </w:rPr>
        <w:t>当设备所处环境温度低于或高于工作环境温度时,应设置保温或隔热防护设施。</w:t>
      </w:r>
    </w:p>
    <w:p w:rsidR="002F7956" w:rsidRDefault="002F7956" w:rsidP="003476CB">
      <w:pPr>
        <w:pStyle w:val="afffffffff1"/>
      </w:pPr>
      <w:r>
        <w:rPr>
          <w:rFonts w:hint="eastAsia"/>
        </w:rPr>
        <w:t>设备宜在非地震区或抗震设防烈度为8度及以下的地区工作,当抗震设防烈度高于8度时,应对基础及地基进行抗震验算,且设备的抗震设计应符合GB</w:t>
      </w:r>
      <w:r w:rsidR="003476CB">
        <w:t xml:space="preserve"> </w:t>
      </w:r>
      <w:r>
        <w:rPr>
          <w:rFonts w:hint="eastAsia"/>
        </w:rPr>
        <w:t>55002、GB 50032、GB 55006等的规定。</w:t>
      </w:r>
    </w:p>
    <w:p w:rsidR="002F7956" w:rsidRDefault="002F7956" w:rsidP="003476CB">
      <w:pPr>
        <w:pStyle w:val="afffffffff1"/>
      </w:pPr>
      <w:r>
        <w:rPr>
          <w:rFonts w:hint="eastAsia"/>
        </w:rPr>
        <w:t>设备的基础抗浮稳定性应符合JGJ</w:t>
      </w:r>
      <w:r w:rsidR="003476CB">
        <w:t xml:space="preserve"> </w:t>
      </w:r>
      <w:r>
        <w:rPr>
          <w:rFonts w:hint="eastAsia"/>
        </w:rPr>
        <w:t>476、GB</w:t>
      </w:r>
      <w:r w:rsidR="003476CB">
        <w:t xml:space="preserve"> </w:t>
      </w:r>
      <w:r>
        <w:rPr>
          <w:rFonts w:hint="eastAsia"/>
        </w:rPr>
        <w:t>55003的规定。</w:t>
      </w:r>
    </w:p>
    <w:p w:rsidR="002F7956" w:rsidRDefault="002F7956" w:rsidP="003476CB">
      <w:pPr>
        <w:pStyle w:val="afffffffff1"/>
      </w:pPr>
      <w:r>
        <w:rPr>
          <w:rFonts w:hint="eastAsia"/>
        </w:rPr>
        <w:t>设备安装基础的承载力应不低于设备运行时</w:t>
      </w:r>
      <w:proofErr w:type="gramStart"/>
      <w:r>
        <w:rPr>
          <w:rFonts w:hint="eastAsia"/>
        </w:rPr>
        <w:t>最大总</w:t>
      </w:r>
      <w:proofErr w:type="gramEnd"/>
      <w:r>
        <w:rPr>
          <w:rFonts w:hint="eastAsia"/>
        </w:rPr>
        <w:t>质量所对应的载荷水平。</w:t>
      </w:r>
    </w:p>
    <w:p w:rsidR="004D4712" w:rsidRDefault="004D4712" w:rsidP="004D4712">
      <w:pPr>
        <w:pStyle w:val="affd"/>
        <w:spacing w:before="120" w:after="120"/>
      </w:pPr>
      <w:bookmarkStart w:id="100" w:name="_Toc201845491"/>
      <w:bookmarkStart w:id="101" w:name="_Toc201847411"/>
      <w:r>
        <w:rPr>
          <w:rFonts w:hint="eastAsia"/>
        </w:rPr>
        <w:lastRenderedPageBreak/>
        <w:t>物理性能</w:t>
      </w:r>
      <w:bookmarkEnd w:id="100"/>
      <w:bookmarkEnd w:id="101"/>
    </w:p>
    <w:p w:rsidR="004D4712" w:rsidRDefault="004D4712" w:rsidP="004D4712">
      <w:pPr>
        <w:pStyle w:val="affffb"/>
        <w:ind w:firstLine="420"/>
      </w:pPr>
      <w:r>
        <w:rPr>
          <w:rFonts w:hint="eastAsia"/>
        </w:rPr>
        <w:t>物理性能应符合表1的规定。</w:t>
      </w:r>
    </w:p>
    <w:p w:rsidR="004D4712" w:rsidRDefault="004D4712" w:rsidP="004D4712">
      <w:pPr>
        <w:pStyle w:val="aff2"/>
        <w:spacing w:before="120" w:after="120"/>
      </w:pPr>
      <w:r>
        <w:rPr>
          <w:rFonts w:hint="eastAsia"/>
        </w:rPr>
        <w:t>物理性能</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84"/>
        <w:gridCol w:w="6650"/>
      </w:tblGrid>
      <w:tr w:rsidR="00900B90" w:rsidTr="009C6BEA">
        <w:trPr>
          <w:tblHeader/>
          <w:jc w:val="center"/>
        </w:trPr>
        <w:tc>
          <w:tcPr>
            <w:tcW w:w="2684" w:type="dxa"/>
            <w:tcBorders>
              <w:top w:val="single" w:sz="8" w:space="0" w:color="auto"/>
              <w:bottom w:val="single" w:sz="8" w:space="0" w:color="auto"/>
            </w:tcBorders>
            <w:shd w:val="clear" w:color="auto" w:fill="auto"/>
            <w:vAlign w:val="center"/>
          </w:tcPr>
          <w:p w:rsidR="00900B90" w:rsidRDefault="00900B90" w:rsidP="00900B90">
            <w:pPr>
              <w:pStyle w:val="afffffffff9"/>
            </w:pPr>
            <w:r>
              <w:rPr>
                <w:rFonts w:hint="eastAsia"/>
              </w:rPr>
              <w:t>项目</w:t>
            </w:r>
          </w:p>
        </w:tc>
        <w:tc>
          <w:tcPr>
            <w:tcW w:w="6650" w:type="dxa"/>
            <w:tcBorders>
              <w:top w:val="single" w:sz="8" w:space="0" w:color="auto"/>
              <w:bottom w:val="single" w:sz="8" w:space="0" w:color="auto"/>
            </w:tcBorders>
            <w:shd w:val="clear" w:color="auto" w:fill="auto"/>
            <w:vAlign w:val="center"/>
          </w:tcPr>
          <w:p w:rsidR="00900B90" w:rsidRDefault="00900B90" w:rsidP="00900B90">
            <w:pPr>
              <w:pStyle w:val="afffffffff9"/>
            </w:pPr>
            <w:r>
              <w:rPr>
                <w:rFonts w:hint="eastAsia"/>
              </w:rPr>
              <w:t>要求</w:t>
            </w:r>
          </w:p>
        </w:tc>
      </w:tr>
      <w:tr w:rsidR="00900B90" w:rsidTr="009C6BEA">
        <w:trPr>
          <w:jc w:val="center"/>
        </w:trPr>
        <w:tc>
          <w:tcPr>
            <w:tcW w:w="2684" w:type="dxa"/>
            <w:tcBorders>
              <w:top w:val="single" w:sz="8" w:space="0" w:color="auto"/>
            </w:tcBorders>
            <w:shd w:val="clear" w:color="auto" w:fill="auto"/>
            <w:vAlign w:val="center"/>
          </w:tcPr>
          <w:p w:rsidR="00900B90" w:rsidRDefault="00900B90" w:rsidP="00900B90">
            <w:pPr>
              <w:pStyle w:val="afffffffff9"/>
            </w:pPr>
            <w:r w:rsidRPr="00900B90">
              <w:rPr>
                <w:rFonts w:hint="eastAsia"/>
              </w:rPr>
              <w:t>巴氏硬度</w:t>
            </w:r>
          </w:p>
        </w:tc>
        <w:tc>
          <w:tcPr>
            <w:tcW w:w="6650" w:type="dxa"/>
            <w:tcBorders>
              <w:top w:val="single" w:sz="8" w:space="0" w:color="auto"/>
            </w:tcBorders>
            <w:shd w:val="clear" w:color="auto" w:fill="auto"/>
            <w:vAlign w:val="center"/>
          </w:tcPr>
          <w:p w:rsidR="00900B90" w:rsidRDefault="00900B90" w:rsidP="00900B90">
            <w:pPr>
              <w:pStyle w:val="afffffffff9"/>
            </w:pPr>
            <w:r w:rsidRPr="00900B90">
              <w:rPr>
                <w:rFonts w:hint="eastAsia"/>
              </w:rPr>
              <w:t>≥40</w:t>
            </w:r>
            <w:r>
              <w:t xml:space="preserve"> </w:t>
            </w:r>
            <w:r w:rsidRPr="00900B90">
              <w:rPr>
                <w:rFonts w:hint="eastAsia"/>
              </w:rPr>
              <w:t>HBa</w:t>
            </w:r>
          </w:p>
        </w:tc>
      </w:tr>
      <w:tr w:rsidR="00900B90" w:rsidTr="009C6BEA">
        <w:trPr>
          <w:jc w:val="center"/>
        </w:trPr>
        <w:tc>
          <w:tcPr>
            <w:tcW w:w="2684" w:type="dxa"/>
            <w:shd w:val="clear" w:color="auto" w:fill="auto"/>
            <w:vAlign w:val="center"/>
          </w:tcPr>
          <w:p w:rsidR="00900B90" w:rsidRDefault="00900B90" w:rsidP="00900B90">
            <w:pPr>
              <w:pStyle w:val="afffffffff9"/>
            </w:pPr>
            <w:r>
              <w:rPr>
                <w:rFonts w:hint="eastAsia"/>
              </w:rPr>
              <w:t>耐酸性(10%H</w:t>
            </w:r>
            <w:r w:rsidRPr="00900B90">
              <w:rPr>
                <w:rFonts w:hint="eastAsia"/>
                <w:vertAlign w:val="subscript"/>
              </w:rPr>
              <w:t>2</w:t>
            </w:r>
            <w:r>
              <w:rPr>
                <w:rFonts w:hint="eastAsia"/>
              </w:rPr>
              <w:t>SO</w:t>
            </w:r>
            <w:r w:rsidRPr="00900B90">
              <w:rPr>
                <w:rFonts w:hint="eastAsia"/>
                <w:vertAlign w:val="subscript"/>
              </w:rPr>
              <w:t>4</w:t>
            </w:r>
            <w:r>
              <w:rPr>
                <w:rFonts w:hint="eastAsia"/>
              </w:rPr>
              <w:t>,72h)</w:t>
            </w:r>
          </w:p>
        </w:tc>
        <w:tc>
          <w:tcPr>
            <w:tcW w:w="6650" w:type="dxa"/>
            <w:shd w:val="clear" w:color="auto" w:fill="auto"/>
            <w:vAlign w:val="center"/>
          </w:tcPr>
          <w:p w:rsidR="00900B90" w:rsidRDefault="00900B90" w:rsidP="00900B90">
            <w:pPr>
              <w:pStyle w:val="afffffffff9"/>
            </w:pPr>
            <w:r w:rsidRPr="00900B90">
              <w:rPr>
                <w:rFonts w:hint="eastAsia"/>
              </w:rPr>
              <w:t>无开裂、鼓泡、变色现象</w:t>
            </w:r>
          </w:p>
        </w:tc>
      </w:tr>
      <w:tr w:rsidR="00900B90" w:rsidTr="009C6BEA">
        <w:trPr>
          <w:jc w:val="center"/>
        </w:trPr>
        <w:tc>
          <w:tcPr>
            <w:tcW w:w="2684" w:type="dxa"/>
            <w:shd w:val="clear" w:color="auto" w:fill="auto"/>
            <w:vAlign w:val="center"/>
          </w:tcPr>
          <w:p w:rsidR="00900B90" w:rsidRDefault="00900B90" w:rsidP="00900B90">
            <w:pPr>
              <w:pStyle w:val="afffffffff9"/>
            </w:pPr>
            <w:r>
              <w:rPr>
                <w:rFonts w:hint="eastAsia"/>
              </w:rPr>
              <w:t>耐碱性(10%NaOH,72h)</w:t>
            </w:r>
          </w:p>
        </w:tc>
        <w:tc>
          <w:tcPr>
            <w:tcW w:w="6650" w:type="dxa"/>
            <w:shd w:val="clear" w:color="auto" w:fill="auto"/>
            <w:vAlign w:val="center"/>
          </w:tcPr>
          <w:p w:rsidR="00900B90" w:rsidRDefault="00900B90" w:rsidP="00900B90">
            <w:pPr>
              <w:pStyle w:val="afffffffff9"/>
            </w:pPr>
            <w:r>
              <w:rPr>
                <w:rFonts w:hint="eastAsia"/>
              </w:rPr>
              <w:t>无开裂、鼓泡、变色现象</w:t>
            </w:r>
          </w:p>
        </w:tc>
      </w:tr>
      <w:tr w:rsidR="00900B90" w:rsidTr="009C6BEA">
        <w:trPr>
          <w:jc w:val="center"/>
        </w:trPr>
        <w:tc>
          <w:tcPr>
            <w:tcW w:w="2684" w:type="dxa"/>
            <w:shd w:val="clear" w:color="auto" w:fill="auto"/>
            <w:vAlign w:val="center"/>
          </w:tcPr>
          <w:p w:rsidR="00900B90" w:rsidRDefault="00900B90" w:rsidP="00900B90">
            <w:pPr>
              <w:pStyle w:val="afffffffff9"/>
            </w:pPr>
            <w:r w:rsidRPr="00900B90">
              <w:rPr>
                <w:rFonts w:hint="eastAsia"/>
              </w:rPr>
              <w:t>拉伸强度</w:t>
            </w:r>
          </w:p>
        </w:tc>
        <w:tc>
          <w:tcPr>
            <w:tcW w:w="6650" w:type="dxa"/>
            <w:shd w:val="clear" w:color="auto" w:fill="auto"/>
            <w:vAlign w:val="center"/>
          </w:tcPr>
          <w:p w:rsidR="00900B90" w:rsidRDefault="00900B90" w:rsidP="00900B90">
            <w:pPr>
              <w:pStyle w:val="afffffffff9"/>
            </w:pPr>
            <w:r>
              <w:rPr>
                <w:rFonts w:hint="eastAsia"/>
              </w:rPr>
              <w:t>≥150</w:t>
            </w:r>
            <w:r>
              <w:t xml:space="preserve"> </w:t>
            </w:r>
            <w:r>
              <w:rPr>
                <w:rFonts w:hint="eastAsia"/>
              </w:rPr>
              <w:t>MPa</w:t>
            </w:r>
          </w:p>
        </w:tc>
      </w:tr>
      <w:tr w:rsidR="00900B90" w:rsidTr="009C6BEA">
        <w:trPr>
          <w:jc w:val="center"/>
        </w:trPr>
        <w:tc>
          <w:tcPr>
            <w:tcW w:w="2684" w:type="dxa"/>
            <w:shd w:val="clear" w:color="auto" w:fill="auto"/>
            <w:vAlign w:val="center"/>
          </w:tcPr>
          <w:p w:rsidR="00900B90" w:rsidRDefault="00900B90" w:rsidP="00900B90">
            <w:pPr>
              <w:pStyle w:val="afffffffff9"/>
            </w:pPr>
            <w:r w:rsidRPr="00900B90">
              <w:rPr>
                <w:rFonts w:hint="eastAsia"/>
              </w:rPr>
              <w:t>弯曲强度</w:t>
            </w:r>
          </w:p>
        </w:tc>
        <w:tc>
          <w:tcPr>
            <w:tcW w:w="6650" w:type="dxa"/>
            <w:shd w:val="clear" w:color="auto" w:fill="auto"/>
            <w:vAlign w:val="center"/>
          </w:tcPr>
          <w:p w:rsidR="00900B90" w:rsidRDefault="00900B90" w:rsidP="00900B90">
            <w:pPr>
              <w:pStyle w:val="afffffffff9"/>
            </w:pPr>
            <w:r w:rsidRPr="00900B90">
              <w:rPr>
                <w:rFonts w:hint="eastAsia"/>
              </w:rPr>
              <w:t>≥200</w:t>
            </w:r>
            <w:r>
              <w:t xml:space="preserve"> </w:t>
            </w:r>
            <w:r w:rsidRPr="00900B90">
              <w:rPr>
                <w:rFonts w:hint="eastAsia"/>
              </w:rPr>
              <w:t>MPa</w:t>
            </w:r>
          </w:p>
        </w:tc>
      </w:tr>
      <w:tr w:rsidR="00900B90" w:rsidTr="009C6BEA">
        <w:trPr>
          <w:jc w:val="center"/>
        </w:trPr>
        <w:tc>
          <w:tcPr>
            <w:tcW w:w="2684" w:type="dxa"/>
            <w:shd w:val="clear" w:color="auto" w:fill="auto"/>
            <w:vAlign w:val="center"/>
          </w:tcPr>
          <w:p w:rsidR="00900B90" w:rsidRDefault="00900B90" w:rsidP="00900B90">
            <w:pPr>
              <w:pStyle w:val="afffffffff9"/>
            </w:pPr>
            <w:r w:rsidRPr="00900B90">
              <w:rPr>
                <w:rFonts w:hint="eastAsia"/>
              </w:rPr>
              <w:t>冲击强度</w:t>
            </w:r>
          </w:p>
        </w:tc>
        <w:tc>
          <w:tcPr>
            <w:tcW w:w="6650" w:type="dxa"/>
            <w:shd w:val="clear" w:color="auto" w:fill="auto"/>
            <w:vAlign w:val="center"/>
          </w:tcPr>
          <w:p w:rsidR="00900B90" w:rsidRDefault="00900B90" w:rsidP="00900B90">
            <w:pPr>
              <w:pStyle w:val="afffffffff9"/>
            </w:pPr>
            <w:r w:rsidRPr="00900B90">
              <w:rPr>
                <w:rFonts w:hint="eastAsia"/>
              </w:rPr>
              <w:t>≥20</w:t>
            </w:r>
            <w:r>
              <w:t xml:space="preserve"> </w:t>
            </w:r>
            <w:r w:rsidRPr="00900B90">
              <w:rPr>
                <w:rFonts w:hint="eastAsia"/>
              </w:rPr>
              <w:t>kJ/m</w:t>
            </w:r>
            <w:r w:rsidRPr="00900B90">
              <w:rPr>
                <w:rFonts w:hint="eastAsia"/>
                <w:vertAlign w:val="superscript"/>
              </w:rPr>
              <w:t>2</w:t>
            </w:r>
          </w:p>
        </w:tc>
      </w:tr>
      <w:tr w:rsidR="00900B90" w:rsidTr="009C6BEA">
        <w:trPr>
          <w:jc w:val="center"/>
        </w:trPr>
        <w:tc>
          <w:tcPr>
            <w:tcW w:w="2684" w:type="dxa"/>
            <w:shd w:val="clear" w:color="auto" w:fill="auto"/>
            <w:vAlign w:val="center"/>
          </w:tcPr>
          <w:p w:rsidR="00900B90" w:rsidRDefault="00900B90" w:rsidP="00900B90">
            <w:pPr>
              <w:pStyle w:val="afffffffff9"/>
            </w:pPr>
            <w:r>
              <w:rPr>
                <w:rFonts w:hint="eastAsia"/>
              </w:rPr>
              <w:t>耐候性(氙灯老化</w:t>
            </w:r>
            <w:r>
              <w:t>1000h)</w:t>
            </w:r>
          </w:p>
        </w:tc>
        <w:tc>
          <w:tcPr>
            <w:tcW w:w="6650" w:type="dxa"/>
            <w:shd w:val="clear" w:color="auto" w:fill="auto"/>
            <w:vAlign w:val="center"/>
          </w:tcPr>
          <w:p w:rsidR="00900B90" w:rsidRDefault="00900B90" w:rsidP="00900B90">
            <w:pPr>
              <w:pStyle w:val="afffffffff9"/>
            </w:pPr>
            <w:r w:rsidRPr="00900B90">
              <w:rPr>
                <w:rFonts w:hint="eastAsia"/>
              </w:rPr>
              <w:t>拉伸强度保留率≥85%</w:t>
            </w:r>
          </w:p>
        </w:tc>
      </w:tr>
      <w:tr w:rsidR="00900B90" w:rsidTr="009C6BEA">
        <w:trPr>
          <w:jc w:val="center"/>
        </w:trPr>
        <w:tc>
          <w:tcPr>
            <w:tcW w:w="2684" w:type="dxa"/>
            <w:shd w:val="clear" w:color="auto" w:fill="auto"/>
            <w:vAlign w:val="center"/>
          </w:tcPr>
          <w:p w:rsidR="00900B90" w:rsidRDefault="00900B90" w:rsidP="00900B90">
            <w:pPr>
              <w:pStyle w:val="afffffffff9"/>
            </w:pPr>
            <w:r>
              <w:rPr>
                <w:rFonts w:hint="eastAsia"/>
              </w:rPr>
              <w:t>尺寸稳定性(湿热处理)</w:t>
            </w:r>
          </w:p>
        </w:tc>
        <w:tc>
          <w:tcPr>
            <w:tcW w:w="6650" w:type="dxa"/>
            <w:shd w:val="clear" w:color="auto" w:fill="auto"/>
            <w:vAlign w:val="center"/>
          </w:tcPr>
          <w:p w:rsidR="00900B90" w:rsidRDefault="00900B90" w:rsidP="00900B90">
            <w:pPr>
              <w:pStyle w:val="afffffffff9"/>
            </w:pPr>
            <w:r w:rsidRPr="00900B90">
              <w:rPr>
                <w:rFonts w:hint="eastAsia"/>
              </w:rPr>
              <w:t>尺寸变化率≤0.5%</w:t>
            </w:r>
          </w:p>
        </w:tc>
      </w:tr>
      <w:tr w:rsidR="00900B90" w:rsidTr="009C6BEA">
        <w:trPr>
          <w:jc w:val="center"/>
        </w:trPr>
        <w:tc>
          <w:tcPr>
            <w:tcW w:w="2684" w:type="dxa"/>
            <w:shd w:val="clear" w:color="auto" w:fill="auto"/>
            <w:vAlign w:val="center"/>
          </w:tcPr>
          <w:p w:rsidR="00900B90" w:rsidRDefault="00900B90" w:rsidP="00900B90">
            <w:pPr>
              <w:pStyle w:val="afffffffff9"/>
            </w:pPr>
            <w:r w:rsidRPr="00900B90">
              <w:rPr>
                <w:rFonts w:hint="eastAsia"/>
              </w:rPr>
              <w:t>抗压强度</w:t>
            </w:r>
          </w:p>
        </w:tc>
        <w:tc>
          <w:tcPr>
            <w:tcW w:w="6650" w:type="dxa"/>
            <w:shd w:val="clear" w:color="auto" w:fill="auto"/>
            <w:vAlign w:val="center"/>
          </w:tcPr>
          <w:p w:rsidR="00900B90" w:rsidRDefault="00900B90" w:rsidP="00900B90">
            <w:pPr>
              <w:pStyle w:val="afffffffff9"/>
            </w:pPr>
            <w:r w:rsidRPr="00900B90">
              <w:rPr>
                <w:rFonts w:hint="eastAsia"/>
              </w:rPr>
              <w:t>≥120</w:t>
            </w:r>
            <w:r>
              <w:t xml:space="preserve"> </w:t>
            </w:r>
            <w:r w:rsidRPr="00900B90">
              <w:rPr>
                <w:rFonts w:hint="eastAsia"/>
              </w:rPr>
              <w:t>MPa</w:t>
            </w:r>
          </w:p>
        </w:tc>
      </w:tr>
      <w:tr w:rsidR="00900B90" w:rsidTr="009C6BEA">
        <w:trPr>
          <w:jc w:val="center"/>
        </w:trPr>
        <w:tc>
          <w:tcPr>
            <w:tcW w:w="2684" w:type="dxa"/>
            <w:shd w:val="clear" w:color="auto" w:fill="auto"/>
            <w:vAlign w:val="center"/>
          </w:tcPr>
          <w:p w:rsidR="00900B90" w:rsidRPr="00900B90" w:rsidRDefault="00900B90" w:rsidP="00900B90">
            <w:pPr>
              <w:pStyle w:val="afffffffff9"/>
            </w:pPr>
            <w:r w:rsidRPr="00900B90">
              <w:rPr>
                <w:rFonts w:hint="eastAsia"/>
              </w:rPr>
              <w:t>密度</w:t>
            </w:r>
          </w:p>
        </w:tc>
        <w:tc>
          <w:tcPr>
            <w:tcW w:w="6650" w:type="dxa"/>
            <w:shd w:val="clear" w:color="auto" w:fill="auto"/>
            <w:vAlign w:val="center"/>
          </w:tcPr>
          <w:p w:rsidR="00900B90" w:rsidRDefault="00900B90" w:rsidP="00900B90">
            <w:pPr>
              <w:pStyle w:val="afffffffff9"/>
            </w:pPr>
            <w:r w:rsidRPr="00900B90">
              <w:t>1.5 g/cm</w:t>
            </w:r>
            <w:r>
              <w:rPr>
                <w:rFonts w:hAnsi="宋体" w:hint="eastAsia"/>
              </w:rPr>
              <w:t>～</w:t>
            </w:r>
            <w:r w:rsidRPr="00900B90">
              <w:t>2.0</w:t>
            </w:r>
            <w:r>
              <w:t xml:space="preserve"> </w:t>
            </w:r>
            <w:r w:rsidRPr="00900B90">
              <w:t>g/cm</w:t>
            </w:r>
          </w:p>
        </w:tc>
      </w:tr>
      <w:tr w:rsidR="00FE2457" w:rsidTr="009C6BEA">
        <w:trPr>
          <w:jc w:val="center"/>
        </w:trPr>
        <w:tc>
          <w:tcPr>
            <w:tcW w:w="2684" w:type="dxa"/>
            <w:shd w:val="clear" w:color="auto" w:fill="auto"/>
            <w:vAlign w:val="center"/>
          </w:tcPr>
          <w:p w:rsidR="00FE2457" w:rsidRPr="00FE2457" w:rsidRDefault="00FE2457" w:rsidP="00900B90">
            <w:pPr>
              <w:pStyle w:val="afffffffff9"/>
            </w:pPr>
            <w:r>
              <w:rPr>
                <w:rFonts w:hint="eastAsia"/>
              </w:rPr>
              <w:t>密封性</w:t>
            </w:r>
          </w:p>
        </w:tc>
        <w:tc>
          <w:tcPr>
            <w:tcW w:w="6650" w:type="dxa"/>
            <w:shd w:val="clear" w:color="auto" w:fill="auto"/>
            <w:vAlign w:val="center"/>
          </w:tcPr>
          <w:p w:rsidR="00FE2457" w:rsidRPr="00900B90" w:rsidRDefault="009C6BEA" w:rsidP="009C6BEA">
            <w:pPr>
              <w:pStyle w:val="afffffffff9"/>
            </w:pPr>
            <w:r>
              <w:rPr>
                <w:rFonts w:hint="eastAsia"/>
              </w:rPr>
              <w:t>设备</w:t>
            </w:r>
            <w:r w:rsidR="00FE2457" w:rsidRPr="00FE2457">
              <w:rPr>
                <w:rFonts w:hint="eastAsia"/>
              </w:rPr>
              <w:t>应具有良好的密封性能，在设计压力下，经密封性能试验，不得有渗漏现象</w:t>
            </w:r>
          </w:p>
        </w:tc>
      </w:tr>
    </w:tbl>
    <w:p w:rsidR="004D4712" w:rsidRDefault="004D4712" w:rsidP="004D4712">
      <w:pPr>
        <w:pStyle w:val="affffb"/>
        <w:ind w:firstLine="420"/>
      </w:pPr>
    </w:p>
    <w:p w:rsidR="008908B3" w:rsidRDefault="00900B90" w:rsidP="00AD122F">
      <w:pPr>
        <w:pStyle w:val="affc"/>
        <w:spacing w:before="240" w:after="240"/>
      </w:pPr>
      <w:bookmarkStart w:id="102" w:name="_Toc201845492"/>
      <w:bookmarkStart w:id="103" w:name="_Toc201847412"/>
      <w:bookmarkEnd w:id="84"/>
      <w:bookmarkEnd w:id="85"/>
      <w:bookmarkEnd w:id="86"/>
      <w:r>
        <w:rPr>
          <w:rFonts w:hint="eastAsia"/>
        </w:rPr>
        <w:t>试验方法</w:t>
      </w:r>
      <w:bookmarkEnd w:id="102"/>
      <w:bookmarkEnd w:id="103"/>
    </w:p>
    <w:p w:rsidR="003476CB" w:rsidRDefault="003476CB" w:rsidP="00900B90">
      <w:pPr>
        <w:pStyle w:val="affd"/>
        <w:spacing w:before="120" w:after="120"/>
      </w:pPr>
      <w:bookmarkStart w:id="104" w:name="_Toc201845493"/>
      <w:bookmarkStart w:id="105" w:name="_Toc201847413"/>
      <w:r>
        <w:rPr>
          <w:rFonts w:hint="eastAsia"/>
        </w:rPr>
        <w:t>材料要求</w:t>
      </w:r>
      <w:bookmarkEnd w:id="104"/>
      <w:bookmarkEnd w:id="105"/>
    </w:p>
    <w:p w:rsidR="003476CB" w:rsidRPr="003476CB" w:rsidRDefault="003476CB" w:rsidP="003476CB">
      <w:pPr>
        <w:pStyle w:val="affffb"/>
        <w:ind w:firstLine="420"/>
      </w:pPr>
      <w:r w:rsidRPr="003476CB">
        <w:rPr>
          <w:rFonts w:hint="eastAsia"/>
        </w:rPr>
        <w:t>材料检查依据产品合格证。</w:t>
      </w:r>
    </w:p>
    <w:p w:rsidR="00900B90" w:rsidRDefault="00900B90" w:rsidP="00900B90">
      <w:pPr>
        <w:pStyle w:val="affd"/>
        <w:spacing w:before="120" w:after="120"/>
      </w:pPr>
      <w:bookmarkStart w:id="106" w:name="_Toc201845494"/>
      <w:bookmarkStart w:id="107" w:name="_Toc201847414"/>
      <w:r>
        <w:rPr>
          <w:rFonts w:hint="eastAsia"/>
        </w:rPr>
        <w:t>外观要求</w:t>
      </w:r>
      <w:bookmarkEnd w:id="106"/>
      <w:bookmarkEnd w:id="107"/>
    </w:p>
    <w:p w:rsidR="003476CB" w:rsidRPr="003476CB" w:rsidRDefault="003476CB" w:rsidP="003476CB">
      <w:pPr>
        <w:pStyle w:val="affffb"/>
        <w:ind w:firstLine="420"/>
      </w:pPr>
      <w:r w:rsidRPr="003476CB">
        <w:rPr>
          <w:rFonts w:hint="eastAsia"/>
        </w:rPr>
        <w:t>用目测和手触摸的方法检验</w:t>
      </w:r>
      <w:r w:rsidR="009C6BEA">
        <w:rPr>
          <w:rFonts w:hint="eastAsia"/>
        </w:rPr>
        <w:t>设备外观</w:t>
      </w:r>
      <w:r w:rsidRPr="003476CB">
        <w:rPr>
          <w:rFonts w:hint="eastAsia"/>
        </w:rPr>
        <w:t>。</w:t>
      </w:r>
    </w:p>
    <w:p w:rsidR="003476CB" w:rsidRDefault="003476CB" w:rsidP="00900B90">
      <w:pPr>
        <w:pStyle w:val="affd"/>
        <w:spacing w:before="120" w:after="120"/>
      </w:pPr>
      <w:bookmarkStart w:id="108" w:name="_Toc201845495"/>
      <w:bookmarkStart w:id="109" w:name="_Toc201847415"/>
      <w:r>
        <w:rPr>
          <w:rFonts w:hint="eastAsia"/>
        </w:rPr>
        <w:t>制造要求</w:t>
      </w:r>
      <w:bookmarkEnd w:id="108"/>
      <w:bookmarkEnd w:id="109"/>
    </w:p>
    <w:p w:rsidR="003476CB" w:rsidRPr="003476CB" w:rsidRDefault="003476CB" w:rsidP="003476CB">
      <w:pPr>
        <w:pStyle w:val="affffb"/>
        <w:ind w:firstLine="420"/>
      </w:pPr>
      <w:r w:rsidRPr="003476CB">
        <w:rPr>
          <w:rFonts w:hint="eastAsia"/>
        </w:rPr>
        <w:t>焊缝及焊接质量按GB</w:t>
      </w:r>
      <w:r w:rsidR="00593CA6">
        <w:t xml:space="preserve"> </w:t>
      </w:r>
      <w:r w:rsidRPr="003476CB">
        <w:rPr>
          <w:rFonts w:hint="eastAsia"/>
        </w:rPr>
        <w:t>50661的规定检查</w:t>
      </w:r>
      <w:r w:rsidR="009C6BEA">
        <w:rPr>
          <w:rFonts w:hint="eastAsia"/>
        </w:rPr>
        <w:t>。</w:t>
      </w:r>
    </w:p>
    <w:p w:rsidR="00900B90" w:rsidRDefault="00900B90" w:rsidP="00900B90">
      <w:pPr>
        <w:pStyle w:val="affd"/>
        <w:spacing w:before="120" w:after="120"/>
      </w:pPr>
      <w:bookmarkStart w:id="110" w:name="_Toc201845496"/>
      <w:bookmarkStart w:id="111" w:name="_Toc201847416"/>
      <w:r>
        <w:rPr>
          <w:rFonts w:hint="eastAsia"/>
        </w:rPr>
        <w:t>尺寸偏差</w:t>
      </w:r>
      <w:bookmarkEnd w:id="110"/>
      <w:bookmarkEnd w:id="111"/>
    </w:p>
    <w:p w:rsidR="00262C54" w:rsidRDefault="00262C54" w:rsidP="00262C54">
      <w:pPr>
        <w:pStyle w:val="afffffffff1"/>
      </w:pPr>
      <w:r>
        <w:rPr>
          <w:rFonts w:hint="eastAsia"/>
        </w:rPr>
        <w:t>长度、直径、宽度及高度用卷尺进行测量。</w:t>
      </w:r>
    </w:p>
    <w:p w:rsidR="00262C54" w:rsidRPr="004D4712" w:rsidRDefault="00262C54" w:rsidP="00262C54">
      <w:pPr>
        <w:pStyle w:val="afffffffff1"/>
      </w:pPr>
      <w:r>
        <w:rPr>
          <w:rFonts w:hint="eastAsia"/>
        </w:rPr>
        <w:t>壁厚用游标卡尺进行测量。</w:t>
      </w:r>
    </w:p>
    <w:p w:rsidR="00900B90" w:rsidRDefault="00900B90" w:rsidP="00900B90">
      <w:pPr>
        <w:pStyle w:val="affd"/>
        <w:spacing w:before="120" w:after="120"/>
      </w:pPr>
      <w:bookmarkStart w:id="112" w:name="_Toc201845497"/>
      <w:bookmarkStart w:id="113" w:name="_Toc201847417"/>
      <w:r>
        <w:rPr>
          <w:rFonts w:hint="eastAsia"/>
        </w:rPr>
        <w:t>工作环境</w:t>
      </w:r>
      <w:bookmarkEnd w:id="112"/>
      <w:bookmarkEnd w:id="113"/>
    </w:p>
    <w:p w:rsidR="003476CB" w:rsidRDefault="003867E2" w:rsidP="003476CB">
      <w:pPr>
        <w:pStyle w:val="affffb"/>
        <w:ind w:firstLine="420"/>
        <w:rPr>
          <w:szCs w:val="21"/>
        </w:rPr>
      </w:pPr>
      <w:r w:rsidRPr="00FF7FF8">
        <w:rPr>
          <w:rFonts w:hint="eastAsia"/>
          <w:szCs w:val="21"/>
        </w:rPr>
        <w:t>将样品放置于</w:t>
      </w:r>
      <w:r w:rsidR="006262EE">
        <w:rPr>
          <w:rFonts w:hint="eastAsia"/>
        </w:rPr>
        <w:t>-15℃</w:t>
      </w:r>
      <w:r w:rsidR="006262EE" w:rsidRPr="003476CB">
        <w:rPr>
          <w:rFonts w:hAnsi="宋体" w:hint="eastAsia"/>
        </w:rPr>
        <w:t>～</w:t>
      </w:r>
      <w:r w:rsidR="006262EE">
        <w:rPr>
          <w:rFonts w:hint="eastAsia"/>
        </w:rPr>
        <w:t>55℃</w:t>
      </w:r>
      <w:r w:rsidRPr="00FF7FF8">
        <w:rPr>
          <w:rFonts w:hint="eastAsia"/>
          <w:szCs w:val="21"/>
        </w:rPr>
        <w:t>的高低温试验箱中，存放</w:t>
      </w:r>
      <w:r w:rsidR="006262EE">
        <w:rPr>
          <w:szCs w:val="21"/>
        </w:rPr>
        <w:t>48</w:t>
      </w:r>
      <w:r w:rsidRPr="00FF7FF8">
        <w:rPr>
          <w:rFonts w:hint="eastAsia"/>
          <w:szCs w:val="21"/>
        </w:rPr>
        <w:t>h，在室温条件下(20℃±5℃)恢复1h</w:t>
      </w:r>
      <w:r>
        <w:rPr>
          <w:rFonts w:hint="eastAsia"/>
          <w:szCs w:val="21"/>
        </w:rPr>
        <w:t>后，检查</w:t>
      </w:r>
      <w:r w:rsidR="006262EE">
        <w:rPr>
          <w:rFonts w:hint="eastAsia"/>
          <w:szCs w:val="21"/>
        </w:rPr>
        <w:t>样品是否有变化。</w:t>
      </w:r>
    </w:p>
    <w:p w:rsidR="00900B90" w:rsidRDefault="00900B90" w:rsidP="00900B90">
      <w:pPr>
        <w:pStyle w:val="affd"/>
        <w:spacing w:before="120" w:after="120"/>
      </w:pPr>
      <w:bookmarkStart w:id="114" w:name="_Toc201845498"/>
      <w:bookmarkStart w:id="115" w:name="_Toc201847418"/>
      <w:r>
        <w:rPr>
          <w:rFonts w:hint="eastAsia"/>
        </w:rPr>
        <w:t>物理性能</w:t>
      </w:r>
      <w:bookmarkEnd w:id="114"/>
      <w:bookmarkEnd w:id="115"/>
    </w:p>
    <w:p w:rsidR="003476CB" w:rsidRPr="00FC0E21" w:rsidRDefault="003476CB" w:rsidP="003476CB">
      <w:pPr>
        <w:pStyle w:val="affe"/>
        <w:spacing w:before="120" w:after="120"/>
      </w:pPr>
      <w:r w:rsidRPr="00FC0E21">
        <w:rPr>
          <w:rFonts w:hint="eastAsia"/>
        </w:rPr>
        <w:t>巴氏硬度</w:t>
      </w:r>
    </w:p>
    <w:p w:rsidR="003476CB" w:rsidRPr="00FC0E21" w:rsidRDefault="006262EE" w:rsidP="003476CB">
      <w:pPr>
        <w:pStyle w:val="affffb"/>
        <w:ind w:firstLine="420"/>
      </w:pPr>
      <w:bookmarkStart w:id="116" w:name="OLE_LINK47"/>
      <w:bookmarkStart w:id="117" w:name="OLE_LINK48"/>
      <w:r w:rsidRPr="00FC0E21">
        <w:rPr>
          <w:rFonts w:hint="eastAsia"/>
        </w:rPr>
        <w:t>按</w:t>
      </w:r>
      <w:bookmarkEnd w:id="116"/>
      <w:bookmarkEnd w:id="117"/>
      <w:r w:rsidR="003476CB" w:rsidRPr="00FC0E21">
        <w:rPr>
          <w:rFonts w:hint="eastAsia"/>
        </w:rPr>
        <w:t>GB/T 3854</w:t>
      </w:r>
      <w:bookmarkStart w:id="118" w:name="OLE_LINK45"/>
      <w:bookmarkStart w:id="119" w:name="OLE_LINK46"/>
      <w:r w:rsidRPr="00FC0E21">
        <w:rPr>
          <w:rFonts w:hint="eastAsia"/>
        </w:rPr>
        <w:t>的规定检验。</w:t>
      </w:r>
      <w:bookmarkEnd w:id="118"/>
      <w:bookmarkEnd w:id="119"/>
    </w:p>
    <w:p w:rsidR="003476CB" w:rsidRPr="00FC0E21" w:rsidRDefault="003476CB" w:rsidP="003476CB">
      <w:pPr>
        <w:pStyle w:val="affe"/>
        <w:spacing w:before="120" w:after="120"/>
      </w:pPr>
      <w:r w:rsidRPr="00FC0E21">
        <w:rPr>
          <w:rFonts w:hint="eastAsia"/>
        </w:rPr>
        <w:t>耐酸性</w:t>
      </w:r>
    </w:p>
    <w:p w:rsidR="00180E10" w:rsidRPr="00FC0E21" w:rsidRDefault="006262EE" w:rsidP="00180E10">
      <w:pPr>
        <w:pStyle w:val="affffb"/>
        <w:ind w:firstLine="420"/>
      </w:pPr>
      <w:r w:rsidRPr="00FC0E21">
        <w:rPr>
          <w:rFonts w:hint="eastAsia"/>
        </w:rPr>
        <w:t>按</w:t>
      </w:r>
      <w:r w:rsidR="00180E10" w:rsidRPr="00FC0E21">
        <w:rPr>
          <w:rFonts w:hint="eastAsia"/>
        </w:rPr>
        <w:t>GB/T 11547</w:t>
      </w:r>
      <w:r w:rsidRPr="00FC0E21">
        <w:rPr>
          <w:rFonts w:hint="eastAsia"/>
        </w:rPr>
        <w:t>的规定检验。</w:t>
      </w:r>
    </w:p>
    <w:p w:rsidR="003476CB" w:rsidRPr="00FC0E21" w:rsidRDefault="003476CB" w:rsidP="003476CB">
      <w:pPr>
        <w:pStyle w:val="affe"/>
        <w:spacing w:before="120" w:after="120"/>
      </w:pPr>
      <w:r w:rsidRPr="00FC0E21">
        <w:rPr>
          <w:rFonts w:hint="eastAsia"/>
        </w:rPr>
        <w:t>耐碱性</w:t>
      </w:r>
    </w:p>
    <w:p w:rsidR="00180E10" w:rsidRPr="00FC0E21" w:rsidRDefault="006262EE" w:rsidP="00180E10">
      <w:pPr>
        <w:pStyle w:val="affffb"/>
        <w:ind w:firstLine="420"/>
      </w:pPr>
      <w:r w:rsidRPr="00FC0E21">
        <w:rPr>
          <w:rFonts w:hint="eastAsia"/>
        </w:rPr>
        <w:t>按</w:t>
      </w:r>
      <w:r w:rsidR="00180E10" w:rsidRPr="00FC0E21">
        <w:rPr>
          <w:rFonts w:hint="eastAsia"/>
        </w:rPr>
        <w:t>GB/T 11547</w:t>
      </w:r>
      <w:r w:rsidRPr="00FC0E21">
        <w:rPr>
          <w:rFonts w:hint="eastAsia"/>
        </w:rPr>
        <w:t>的规定检验。</w:t>
      </w:r>
    </w:p>
    <w:p w:rsidR="003476CB" w:rsidRPr="00FC0E21" w:rsidRDefault="003476CB" w:rsidP="003476CB">
      <w:pPr>
        <w:pStyle w:val="affe"/>
        <w:spacing w:before="120" w:after="120"/>
      </w:pPr>
      <w:r w:rsidRPr="00FC0E21">
        <w:rPr>
          <w:rFonts w:hint="eastAsia"/>
        </w:rPr>
        <w:t>拉伸强度</w:t>
      </w:r>
    </w:p>
    <w:p w:rsidR="003476CB" w:rsidRPr="00FC0E21" w:rsidRDefault="006262EE" w:rsidP="003476CB">
      <w:pPr>
        <w:pStyle w:val="affffb"/>
        <w:ind w:firstLine="420"/>
      </w:pPr>
      <w:r w:rsidRPr="00FC0E21">
        <w:rPr>
          <w:rFonts w:hint="eastAsia"/>
        </w:rPr>
        <w:t>按</w:t>
      </w:r>
      <w:r w:rsidR="003476CB" w:rsidRPr="00FC0E21">
        <w:rPr>
          <w:rFonts w:hint="eastAsia"/>
        </w:rPr>
        <w:t>GB/T 1447</w:t>
      </w:r>
      <w:r w:rsidRPr="00FC0E21">
        <w:rPr>
          <w:rFonts w:hint="eastAsia"/>
        </w:rPr>
        <w:t>的规定检验。</w:t>
      </w:r>
    </w:p>
    <w:p w:rsidR="003476CB" w:rsidRPr="00FC0E21" w:rsidRDefault="003476CB" w:rsidP="003476CB">
      <w:pPr>
        <w:pStyle w:val="affe"/>
        <w:spacing w:before="120" w:after="120"/>
      </w:pPr>
      <w:r w:rsidRPr="00FC0E21">
        <w:rPr>
          <w:rFonts w:hint="eastAsia"/>
        </w:rPr>
        <w:t>弯曲强度</w:t>
      </w:r>
    </w:p>
    <w:p w:rsidR="003476CB" w:rsidRPr="00FC0E21" w:rsidRDefault="006262EE" w:rsidP="003476CB">
      <w:pPr>
        <w:pStyle w:val="affffb"/>
        <w:ind w:firstLine="420"/>
      </w:pPr>
      <w:r w:rsidRPr="00FC0E21">
        <w:rPr>
          <w:rFonts w:hint="eastAsia"/>
        </w:rPr>
        <w:lastRenderedPageBreak/>
        <w:t>按</w:t>
      </w:r>
      <w:r w:rsidR="003476CB" w:rsidRPr="00FC0E21">
        <w:rPr>
          <w:rFonts w:hint="eastAsia"/>
        </w:rPr>
        <w:t>GB/T 11547</w:t>
      </w:r>
      <w:r w:rsidRPr="00FC0E21">
        <w:rPr>
          <w:rFonts w:hint="eastAsia"/>
        </w:rPr>
        <w:t>的规定检验。</w:t>
      </w:r>
    </w:p>
    <w:p w:rsidR="003476CB" w:rsidRPr="00FC0E21" w:rsidRDefault="003476CB" w:rsidP="003476CB">
      <w:pPr>
        <w:pStyle w:val="affe"/>
        <w:spacing w:before="120" w:after="120"/>
      </w:pPr>
      <w:r w:rsidRPr="00FC0E21">
        <w:rPr>
          <w:rFonts w:hint="eastAsia"/>
        </w:rPr>
        <w:t>冲击强度</w:t>
      </w:r>
    </w:p>
    <w:p w:rsidR="003476CB" w:rsidRPr="00FC0E21" w:rsidRDefault="006262EE" w:rsidP="003476CB">
      <w:pPr>
        <w:pStyle w:val="affffb"/>
        <w:ind w:firstLine="420"/>
      </w:pPr>
      <w:bookmarkStart w:id="120" w:name="OLE_LINK55"/>
      <w:bookmarkStart w:id="121" w:name="OLE_LINK56"/>
      <w:r w:rsidRPr="00FC0E21">
        <w:rPr>
          <w:rFonts w:hint="eastAsia"/>
        </w:rPr>
        <w:t>按</w:t>
      </w:r>
      <w:bookmarkEnd w:id="120"/>
      <w:bookmarkEnd w:id="121"/>
      <w:r w:rsidR="00FC0E21" w:rsidRPr="00FC0E21">
        <w:rPr>
          <w:rFonts w:hint="eastAsia"/>
        </w:rPr>
        <w:t>GB/T 1447</w:t>
      </w:r>
      <w:r w:rsidRPr="00FC0E21">
        <w:rPr>
          <w:rFonts w:hint="eastAsia"/>
        </w:rPr>
        <w:t>的规定检验。</w:t>
      </w:r>
    </w:p>
    <w:p w:rsidR="003476CB" w:rsidRPr="00FC0E21" w:rsidRDefault="003476CB" w:rsidP="003476CB">
      <w:pPr>
        <w:pStyle w:val="affe"/>
        <w:spacing w:before="120" w:after="120"/>
      </w:pPr>
      <w:r w:rsidRPr="00FC0E21">
        <w:rPr>
          <w:rFonts w:hint="eastAsia"/>
        </w:rPr>
        <w:t>耐候性</w:t>
      </w:r>
    </w:p>
    <w:p w:rsidR="003476CB" w:rsidRPr="00FC0E21" w:rsidRDefault="00FC0E21" w:rsidP="003476CB">
      <w:pPr>
        <w:pStyle w:val="affffb"/>
        <w:ind w:firstLine="420"/>
      </w:pPr>
      <w:r w:rsidRPr="00FC0E21">
        <w:rPr>
          <w:rFonts w:hint="eastAsia"/>
        </w:rPr>
        <w:t>按按</w:t>
      </w:r>
      <w:r w:rsidRPr="00FC0E21">
        <w:t>GB/T 2573</w:t>
      </w:r>
      <w:r w:rsidR="006262EE" w:rsidRPr="00FC0E21">
        <w:rPr>
          <w:rFonts w:hint="eastAsia"/>
        </w:rPr>
        <w:t>的规定检验。</w:t>
      </w:r>
    </w:p>
    <w:p w:rsidR="003476CB" w:rsidRPr="00FC0E21" w:rsidRDefault="003476CB" w:rsidP="003476CB">
      <w:pPr>
        <w:pStyle w:val="affe"/>
        <w:spacing w:before="120" w:after="120"/>
      </w:pPr>
      <w:r w:rsidRPr="00FC0E21">
        <w:rPr>
          <w:rFonts w:hint="eastAsia"/>
        </w:rPr>
        <w:t>尺寸稳定性</w:t>
      </w:r>
    </w:p>
    <w:p w:rsidR="003476CB" w:rsidRPr="00FC0E21" w:rsidRDefault="00FC0E21" w:rsidP="003476CB">
      <w:pPr>
        <w:pStyle w:val="affffb"/>
        <w:ind w:firstLine="420"/>
      </w:pPr>
      <w:r w:rsidRPr="00FC0E21">
        <w:rPr>
          <w:rFonts w:hint="eastAsia"/>
        </w:rPr>
        <w:t>按</w:t>
      </w:r>
      <w:r w:rsidR="003476CB" w:rsidRPr="00FC0E21">
        <w:rPr>
          <w:rFonts w:hint="eastAsia"/>
        </w:rPr>
        <w:t>GB/T 11547</w:t>
      </w:r>
      <w:r w:rsidR="006262EE" w:rsidRPr="00FC0E21">
        <w:rPr>
          <w:rFonts w:hint="eastAsia"/>
        </w:rPr>
        <w:t>的规定检验。</w:t>
      </w:r>
    </w:p>
    <w:p w:rsidR="003476CB" w:rsidRPr="00FC0E21" w:rsidRDefault="003476CB" w:rsidP="003476CB">
      <w:pPr>
        <w:pStyle w:val="affe"/>
        <w:spacing w:before="120" w:after="120"/>
      </w:pPr>
      <w:r w:rsidRPr="00FC0E21">
        <w:rPr>
          <w:rFonts w:hint="eastAsia"/>
        </w:rPr>
        <w:t>抗压强度</w:t>
      </w:r>
    </w:p>
    <w:p w:rsidR="003476CB" w:rsidRPr="00FC0E21" w:rsidRDefault="00FC0E21" w:rsidP="003476CB">
      <w:pPr>
        <w:pStyle w:val="affffb"/>
        <w:ind w:firstLine="420"/>
      </w:pPr>
      <w:r w:rsidRPr="00FC0E21">
        <w:rPr>
          <w:rFonts w:hint="eastAsia"/>
        </w:rPr>
        <w:t>按</w:t>
      </w:r>
      <w:r w:rsidR="00180E10" w:rsidRPr="00FC0E21">
        <w:rPr>
          <w:rFonts w:hint="eastAsia"/>
        </w:rPr>
        <w:t>GB/T 3854</w:t>
      </w:r>
      <w:r w:rsidR="006262EE" w:rsidRPr="00FC0E21">
        <w:rPr>
          <w:rFonts w:hint="eastAsia"/>
        </w:rPr>
        <w:t>的规定检验。</w:t>
      </w:r>
    </w:p>
    <w:p w:rsidR="003476CB" w:rsidRPr="00FC0E21" w:rsidRDefault="003476CB" w:rsidP="003476CB">
      <w:pPr>
        <w:pStyle w:val="affe"/>
        <w:spacing w:before="120" w:after="120"/>
      </w:pPr>
      <w:r w:rsidRPr="00FC0E21">
        <w:rPr>
          <w:rFonts w:hint="eastAsia"/>
        </w:rPr>
        <w:t>密度</w:t>
      </w:r>
    </w:p>
    <w:p w:rsidR="003476CB" w:rsidRDefault="00FC0E21" w:rsidP="003476CB">
      <w:pPr>
        <w:pStyle w:val="affffb"/>
        <w:ind w:firstLine="420"/>
      </w:pPr>
      <w:r w:rsidRPr="00FC0E21">
        <w:rPr>
          <w:rFonts w:hint="eastAsia"/>
        </w:rPr>
        <w:t>按</w:t>
      </w:r>
      <w:r w:rsidR="003867E2" w:rsidRPr="00FC0E21">
        <w:t>GB/T 1463</w:t>
      </w:r>
      <w:r w:rsidR="006262EE" w:rsidRPr="00FC0E21">
        <w:rPr>
          <w:rFonts w:hint="eastAsia"/>
        </w:rPr>
        <w:t>的规定检验。</w:t>
      </w:r>
    </w:p>
    <w:p w:rsidR="00FE2457" w:rsidRDefault="00FE2457" w:rsidP="00FE2457">
      <w:pPr>
        <w:pStyle w:val="affe"/>
        <w:spacing w:before="120" w:after="120"/>
      </w:pPr>
      <w:r>
        <w:rPr>
          <w:rFonts w:hint="eastAsia"/>
        </w:rPr>
        <w:t>密封性</w:t>
      </w:r>
    </w:p>
    <w:p w:rsidR="00FE2457" w:rsidRPr="00FE2457" w:rsidRDefault="00FE2457" w:rsidP="00FE2457">
      <w:pPr>
        <w:pStyle w:val="affffb"/>
        <w:ind w:firstLine="420"/>
      </w:pPr>
      <w:r w:rsidRPr="00FE2457">
        <w:rPr>
          <w:rFonts w:hint="eastAsia"/>
        </w:rPr>
        <w:t>将筒体充满水或其他合适的介质，封闭所有开口，逐渐升压至设计压力，保持一定时间，检查筒体各部位是否有渗漏现象，记录试验结果。</w:t>
      </w:r>
    </w:p>
    <w:p w:rsidR="003E019F" w:rsidRDefault="00FE2457" w:rsidP="00FE2457">
      <w:pPr>
        <w:pStyle w:val="affc"/>
        <w:spacing w:before="240" w:after="240"/>
      </w:pPr>
      <w:bookmarkStart w:id="122" w:name="_Toc201845499"/>
      <w:bookmarkStart w:id="123" w:name="_Toc201847419"/>
      <w:bookmarkStart w:id="124" w:name="OLE_LINK49"/>
      <w:bookmarkStart w:id="125" w:name="OLE_LINK50"/>
      <w:r>
        <w:rPr>
          <w:rFonts w:hint="eastAsia"/>
        </w:rPr>
        <w:t>检验规则</w:t>
      </w:r>
      <w:bookmarkEnd w:id="122"/>
      <w:bookmarkEnd w:id="123"/>
    </w:p>
    <w:p w:rsidR="00FE2457" w:rsidRDefault="00FE2457" w:rsidP="00FE2457">
      <w:pPr>
        <w:pStyle w:val="affd"/>
        <w:spacing w:before="120" w:after="120"/>
      </w:pPr>
      <w:bookmarkStart w:id="126" w:name="_Toc201845500"/>
      <w:bookmarkStart w:id="127" w:name="_Toc201847420"/>
      <w:bookmarkEnd w:id="124"/>
      <w:bookmarkEnd w:id="125"/>
      <w:r>
        <w:rPr>
          <w:rFonts w:hint="eastAsia"/>
        </w:rPr>
        <w:t>检验分类</w:t>
      </w:r>
      <w:bookmarkEnd w:id="126"/>
      <w:bookmarkEnd w:id="127"/>
    </w:p>
    <w:p w:rsidR="00FE2457" w:rsidRDefault="00FE2457" w:rsidP="00FE2457">
      <w:pPr>
        <w:pStyle w:val="affffb"/>
        <w:ind w:firstLine="420"/>
      </w:pPr>
      <w:r w:rsidRPr="00FE2457">
        <w:rPr>
          <w:rFonts w:hint="eastAsia"/>
        </w:rPr>
        <w:t>产品检验分为出厂检验和型式检验。</w:t>
      </w:r>
    </w:p>
    <w:p w:rsidR="00FE2457" w:rsidRDefault="00FE2457" w:rsidP="00FE2457">
      <w:pPr>
        <w:pStyle w:val="affd"/>
        <w:spacing w:before="120" w:after="120"/>
      </w:pPr>
      <w:bookmarkStart w:id="128" w:name="_Toc201845501"/>
      <w:bookmarkStart w:id="129" w:name="_Toc201847421"/>
      <w:r>
        <w:rPr>
          <w:rFonts w:hint="eastAsia"/>
        </w:rPr>
        <w:t>出厂检验</w:t>
      </w:r>
      <w:bookmarkEnd w:id="128"/>
      <w:bookmarkEnd w:id="129"/>
    </w:p>
    <w:p w:rsidR="00FE2457" w:rsidRDefault="00FE2457" w:rsidP="00FE2457">
      <w:pPr>
        <w:pStyle w:val="afffffffff1"/>
      </w:pPr>
      <w:r>
        <w:rPr>
          <w:rFonts w:hint="eastAsia"/>
        </w:rPr>
        <w:t>每台筒体均应进行出厂检验，出厂检验项目包括外观质量、尺寸偏差、密封性能。</w:t>
      </w:r>
      <w:r>
        <w:rPr>
          <w:rFonts w:ascii="MS Gothic" w:eastAsia="MS Gothic" w:hAnsi="MS Gothic" w:cs="MS Gothic" w:hint="eastAsia"/>
        </w:rPr>
        <w:t>​</w:t>
      </w:r>
    </w:p>
    <w:p w:rsidR="00FE2457" w:rsidRDefault="00FE2457" w:rsidP="00FE2457">
      <w:pPr>
        <w:pStyle w:val="afffffffff1"/>
      </w:pPr>
      <w:r>
        <w:rPr>
          <w:rFonts w:hint="eastAsia"/>
        </w:rPr>
        <w:t>出厂检验合格的筒体，应附有产品质量检验合格证。</w:t>
      </w:r>
    </w:p>
    <w:p w:rsidR="00FE2457" w:rsidRDefault="00FE2457" w:rsidP="00FE2457">
      <w:pPr>
        <w:pStyle w:val="affd"/>
        <w:spacing w:before="120" w:after="120"/>
      </w:pPr>
      <w:bookmarkStart w:id="130" w:name="_Toc201845502"/>
      <w:bookmarkStart w:id="131" w:name="_Toc201847422"/>
      <w:r w:rsidRPr="00FE2457">
        <w:rPr>
          <w:rFonts w:hint="eastAsia"/>
        </w:rPr>
        <w:t>型式检验</w:t>
      </w:r>
      <w:bookmarkEnd w:id="130"/>
      <w:bookmarkEnd w:id="131"/>
    </w:p>
    <w:p w:rsidR="00FE2457" w:rsidRDefault="00E23089" w:rsidP="00FE2457">
      <w:pPr>
        <w:pStyle w:val="afffffffff1"/>
      </w:pPr>
      <w:r w:rsidRPr="00E23089">
        <w:rPr>
          <w:rFonts w:hint="eastAsia"/>
        </w:rPr>
        <w:t>型式检验项目包括本</w:t>
      </w:r>
      <w:r>
        <w:rPr>
          <w:rFonts w:hint="eastAsia"/>
        </w:rPr>
        <w:t>文件</w:t>
      </w:r>
      <w:r w:rsidRPr="00E23089">
        <w:rPr>
          <w:rFonts w:hint="eastAsia"/>
        </w:rPr>
        <w:t>规定的全部技术要求</w:t>
      </w:r>
      <w:r>
        <w:rPr>
          <w:rFonts w:hint="eastAsia"/>
        </w:rPr>
        <w:t>，</w:t>
      </w:r>
      <w:r w:rsidR="00FE2457">
        <w:rPr>
          <w:rFonts w:hint="eastAsia"/>
        </w:rPr>
        <w:t>应从出厂检验合格品中随机抽取</w:t>
      </w:r>
      <w:r>
        <w:t>1</w:t>
      </w:r>
      <w:r w:rsidR="00FE2457">
        <w:rPr>
          <w:rFonts w:hint="eastAsia"/>
        </w:rPr>
        <w:t>台，抽样基数不应少于2台。</w:t>
      </w:r>
    </w:p>
    <w:p w:rsidR="00FE2457" w:rsidRDefault="00FE2457" w:rsidP="00FE2457">
      <w:pPr>
        <w:pStyle w:val="afffffffff1"/>
      </w:pPr>
      <w:r>
        <w:rPr>
          <w:rFonts w:hint="eastAsia"/>
        </w:rPr>
        <w:t>有下列情况之一时，应进行型式检验：</w:t>
      </w:r>
    </w:p>
    <w:p w:rsidR="00FE2457" w:rsidRDefault="00FE2457" w:rsidP="00FE2457">
      <w:pPr>
        <w:pStyle w:val="af2"/>
      </w:pPr>
      <w:r>
        <w:rPr>
          <w:rFonts w:hint="eastAsia"/>
        </w:rPr>
        <w:t>新产品或老产品转厂生产的试制定型鉴定；</w:t>
      </w:r>
    </w:p>
    <w:p w:rsidR="00FE2457" w:rsidRDefault="00FE2457" w:rsidP="00FE2457">
      <w:pPr>
        <w:pStyle w:val="af2"/>
      </w:pPr>
      <w:r>
        <w:rPr>
          <w:rFonts w:hint="eastAsia"/>
        </w:rPr>
        <w:t>产品正常生产后，结构、材料或工艺有较大改变，可能影响产品质量；</w:t>
      </w:r>
    </w:p>
    <w:p w:rsidR="00FE2457" w:rsidRDefault="00FE2457" w:rsidP="00FE2457">
      <w:pPr>
        <w:pStyle w:val="af2"/>
      </w:pPr>
      <w:r>
        <w:rPr>
          <w:rFonts w:hint="eastAsia"/>
        </w:rPr>
        <w:t>出厂检验结果与上次型式检验有较大差异；</w:t>
      </w:r>
    </w:p>
    <w:p w:rsidR="00FE2457" w:rsidRDefault="00FE2457" w:rsidP="00FE2457">
      <w:pPr>
        <w:pStyle w:val="af2"/>
      </w:pPr>
      <w:r>
        <w:rPr>
          <w:rFonts w:hint="eastAsia"/>
        </w:rPr>
        <w:t>产品停产12个月以上，恢复生产；</w:t>
      </w:r>
    </w:p>
    <w:p w:rsidR="00FE2457" w:rsidRDefault="00FE2457" w:rsidP="00FE2457">
      <w:pPr>
        <w:pStyle w:val="af2"/>
      </w:pPr>
      <w:r w:rsidRPr="00FE2457">
        <w:rPr>
          <w:rFonts w:hint="eastAsia"/>
        </w:rPr>
        <w:t>正常生产时间达24个月。</w:t>
      </w:r>
    </w:p>
    <w:p w:rsidR="00E23089" w:rsidRDefault="00E23089" w:rsidP="00E23089">
      <w:pPr>
        <w:pStyle w:val="affd"/>
        <w:spacing w:before="120" w:after="120"/>
      </w:pPr>
      <w:bookmarkStart w:id="132" w:name="_Toc201845503"/>
      <w:bookmarkStart w:id="133" w:name="_Toc201847423"/>
      <w:r>
        <w:rPr>
          <w:rFonts w:hint="eastAsia"/>
        </w:rPr>
        <w:t>现场检验</w:t>
      </w:r>
      <w:bookmarkEnd w:id="132"/>
      <w:bookmarkEnd w:id="133"/>
    </w:p>
    <w:p w:rsidR="00E23089" w:rsidRDefault="00E23089" w:rsidP="00E23089">
      <w:pPr>
        <w:pStyle w:val="affffb"/>
        <w:ind w:firstLine="420"/>
      </w:pPr>
      <w:r>
        <w:rPr>
          <w:rFonts w:hint="eastAsia"/>
        </w:rPr>
        <w:t>有下列情况之一时，应进行现场检验：</w:t>
      </w:r>
    </w:p>
    <w:p w:rsidR="00E23089" w:rsidRDefault="00E23089" w:rsidP="00E23089">
      <w:pPr>
        <w:pStyle w:val="af2"/>
      </w:pPr>
      <w:r>
        <w:rPr>
          <w:rFonts w:hint="eastAsia"/>
        </w:rPr>
        <w:t>一体化设备在运输过程中出现破损或事故；</w:t>
      </w:r>
    </w:p>
    <w:p w:rsidR="00E23089" w:rsidRDefault="00E23089" w:rsidP="00E23089">
      <w:pPr>
        <w:pStyle w:val="af2"/>
      </w:pPr>
      <w:r>
        <w:rPr>
          <w:rFonts w:hint="eastAsia"/>
        </w:rPr>
        <w:t>一体化设备出现二次移动；</w:t>
      </w:r>
    </w:p>
    <w:p w:rsidR="00E23089" w:rsidRPr="00E23089" w:rsidRDefault="00E23089" w:rsidP="00E23089">
      <w:pPr>
        <w:pStyle w:val="af2"/>
      </w:pPr>
      <w:r>
        <w:rPr>
          <w:rFonts w:hint="eastAsia"/>
        </w:rPr>
        <w:t>一体化设备经调试后应对进、出水水质和出水流量进行检测。</w:t>
      </w:r>
    </w:p>
    <w:p w:rsidR="00E23089" w:rsidRDefault="00E23089" w:rsidP="00E23089">
      <w:pPr>
        <w:pStyle w:val="affd"/>
        <w:spacing w:before="120" w:after="120"/>
      </w:pPr>
      <w:bookmarkStart w:id="134" w:name="_Toc201845504"/>
      <w:bookmarkStart w:id="135" w:name="_Toc201847424"/>
      <w:r>
        <w:rPr>
          <w:rFonts w:hint="eastAsia"/>
        </w:rPr>
        <w:t>判定规则</w:t>
      </w:r>
      <w:bookmarkEnd w:id="134"/>
      <w:bookmarkEnd w:id="135"/>
    </w:p>
    <w:p w:rsidR="00E23089" w:rsidRPr="00E23089" w:rsidRDefault="00E23089" w:rsidP="00E23089">
      <w:pPr>
        <w:pStyle w:val="affffb"/>
        <w:ind w:firstLine="420"/>
      </w:pPr>
      <w:r w:rsidRPr="00E23089">
        <w:rPr>
          <w:rFonts w:hint="eastAsia"/>
        </w:rPr>
        <w:t>检验</w:t>
      </w:r>
      <w:r>
        <w:rPr>
          <w:rFonts w:hint="eastAsia"/>
        </w:rPr>
        <w:t>结果应符合本文件规定的技术要求</w:t>
      </w:r>
      <w:r w:rsidRPr="00E23089">
        <w:rPr>
          <w:rFonts w:hint="eastAsia"/>
        </w:rPr>
        <w:t>。任一检验项目不合格即判定产品为不合格。</w:t>
      </w:r>
    </w:p>
    <w:p w:rsidR="00E23089" w:rsidRDefault="00E23089" w:rsidP="00E23089">
      <w:pPr>
        <w:pStyle w:val="affc"/>
        <w:spacing w:before="240" w:after="240"/>
      </w:pPr>
      <w:bookmarkStart w:id="136" w:name="_Toc201845505"/>
      <w:bookmarkStart w:id="137" w:name="_Toc201847425"/>
      <w:bookmarkStart w:id="138" w:name="BookMark6"/>
      <w:bookmarkEnd w:id="22"/>
      <w:r>
        <w:rPr>
          <w:rFonts w:hint="eastAsia"/>
        </w:rPr>
        <w:t>标志、包装、运输和贮存</w:t>
      </w:r>
      <w:bookmarkEnd w:id="136"/>
      <w:bookmarkEnd w:id="137"/>
    </w:p>
    <w:p w:rsidR="00C61962" w:rsidRDefault="00C61962" w:rsidP="00C61962">
      <w:pPr>
        <w:pStyle w:val="affd"/>
        <w:spacing w:before="120" w:after="120"/>
      </w:pPr>
      <w:bookmarkStart w:id="139" w:name="_Toc201845506"/>
      <w:bookmarkStart w:id="140" w:name="_Toc201847426"/>
      <w:r>
        <w:rPr>
          <w:rFonts w:hint="eastAsia"/>
        </w:rPr>
        <w:lastRenderedPageBreak/>
        <w:t>标志</w:t>
      </w:r>
      <w:bookmarkEnd w:id="139"/>
      <w:bookmarkEnd w:id="140"/>
    </w:p>
    <w:p w:rsidR="006A0D20" w:rsidRDefault="006A0D20" w:rsidP="006A0D20">
      <w:pPr>
        <w:pStyle w:val="afffffffff1"/>
      </w:pPr>
      <w:r>
        <w:rPr>
          <w:rFonts w:hint="eastAsia"/>
        </w:rPr>
        <w:t>每台筒体应在明显位置设置产品标牌，标牌应符合GB/T 13306的规定，标牌上应注明下列内容：</w:t>
      </w:r>
    </w:p>
    <w:p w:rsidR="006A0D20" w:rsidRDefault="006A0D20" w:rsidP="006A0D20">
      <w:pPr>
        <w:pStyle w:val="af2"/>
      </w:pPr>
      <w:r>
        <w:rPr>
          <w:rFonts w:hint="eastAsia"/>
        </w:rPr>
        <w:t>产品名称、型号；</w:t>
      </w:r>
    </w:p>
    <w:p w:rsidR="006A0D20" w:rsidRDefault="006A0D20" w:rsidP="006A0D20">
      <w:pPr>
        <w:pStyle w:val="af2"/>
      </w:pPr>
      <w:r>
        <w:rPr>
          <w:rFonts w:hint="eastAsia"/>
        </w:rPr>
        <w:t>主要技术参数；</w:t>
      </w:r>
    </w:p>
    <w:p w:rsidR="006A0D20" w:rsidRDefault="006A0D20" w:rsidP="006A0D20">
      <w:pPr>
        <w:pStyle w:val="af2"/>
      </w:pPr>
      <w:r>
        <w:rPr>
          <w:rFonts w:hint="eastAsia"/>
        </w:rPr>
        <w:t>注册商标；</w:t>
      </w:r>
    </w:p>
    <w:p w:rsidR="006A0D20" w:rsidRDefault="006A0D20" w:rsidP="006A0D20">
      <w:pPr>
        <w:pStyle w:val="af2"/>
      </w:pPr>
      <w:r>
        <w:rPr>
          <w:rFonts w:hint="eastAsia"/>
        </w:rPr>
        <w:t>执行标准编号；</w:t>
      </w:r>
    </w:p>
    <w:p w:rsidR="006A0D20" w:rsidRDefault="006A0D20" w:rsidP="006A0D20">
      <w:pPr>
        <w:pStyle w:val="af2"/>
      </w:pPr>
      <w:r>
        <w:rPr>
          <w:rFonts w:hint="eastAsia"/>
        </w:rPr>
        <w:t>出厂编号和日期；</w:t>
      </w:r>
    </w:p>
    <w:p w:rsidR="006A0D20" w:rsidRDefault="006A0D20" w:rsidP="006A0D20">
      <w:pPr>
        <w:pStyle w:val="af2"/>
      </w:pPr>
      <w:r>
        <w:rPr>
          <w:rFonts w:hint="eastAsia"/>
        </w:rPr>
        <w:t>制造厂名称和地址。</w:t>
      </w:r>
    </w:p>
    <w:p w:rsidR="006A0D20" w:rsidRDefault="006A0D20" w:rsidP="006A0D20">
      <w:pPr>
        <w:pStyle w:val="afffffffff1"/>
      </w:pPr>
      <w:r w:rsidRPr="00C61962">
        <w:rPr>
          <w:rFonts w:hint="eastAsia"/>
        </w:rPr>
        <w:t>标志应清晰、牢固，不易脱落</w:t>
      </w:r>
      <w:r>
        <w:rPr>
          <w:rFonts w:hint="eastAsia"/>
        </w:rPr>
        <w:t>。</w:t>
      </w:r>
    </w:p>
    <w:p w:rsidR="006A0D20" w:rsidRDefault="006A0D20" w:rsidP="006A0D20">
      <w:pPr>
        <w:pStyle w:val="afffffffff1"/>
      </w:pPr>
      <w:r>
        <w:rPr>
          <w:rFonts w:hint="eastAsia"/>
        </w:rPr>
        <w:t>包装储运标志应符合GB/T 191 的规定。</w:t>
      </w:r>
    </w:p>
    <w:p w:rsidR="00C61962" w:rsidRDefault="00C61962" w:rsidP="00C61962">
      <w:pPr>
        <w:pStyle w:val="affd"/>
        <w:spacing w:before="120" w:after="120"/>
      </w:pPr>
      <w:bookmarkStart w:id="141" w:name="_Toc201845507"/>
      <w:bookmarkStart w:id="142" w:name="_Toc201847427"/>
      <w:bookmarkStart w:id="143" w:name="OLE_LINK51"/>
      <w:bookmarkStart w:id="144" w:name="OLE_LINK52"/>
      <w:r>
        <w:rPr>
          <w:rFonts w:hint="eastAsia"/>
        </w:rPr>
        <w:t>包装</w:t>
      </w:r>
      <w:bookmarkEnd w:id="141"/>
      <w:bookmarkEnd w:id="142"/>
    </w:p>
    <w:p w:rsidR="00C61962" w:rsidRDefault="00C61962" w:rsidP="00C61962">
      <w:pPr>
        <w:pStyle w:val="afffffffff1"/>
      </w:pPr>
      <w:r w:rsidRPr="00C61962">
        <w:rPr>
          <w:rFonts w:hint="eastAsia"/>
        </w:rPr>
        <w:t>筒体的包装应根据其尺寸、重量和运输要求进行设计，采用合适的包装材料，如塑料薄膜、泡沫板、木箱等，确保在运输和贮存过程中不受损伤</w:t>
      </w:r>
      <w:r>
        <w:rPr>
          <w:rFonts w:hint="eastAsia"/>
        </w:rPr>
        <w:t>。</w:t>
      </w:r>
      <w:r>
        <w:rPr>
          <w:rFonts w:ascii="MS Gothic" w:eastAsia="MS Gothic" w:hAnsi="MS Gothic" w:cs="MS Gothic" w:hint="eastAsia"/>
        </w:rPr>
        <w:t>​</w:t>
      </w:r>
    </w:p>
    <w:p w:rsidR="00C61962" w:rsidRDefault="00C61962" w:rsidP="00C61962">
      <w:pPr>
        <w:pStyle w:val="afffffffff1"/>
      </w:pPr>
      <w:r>
        <w:rPr>
          <w:rFonts w:hint="eastAsia"/>
        </w:rPr>
        <w:t>包装箱内应附下列文件：</w:t>
      </w:r>
    </w:p>
    <w:bookmarkEnd w:id="143"/>
    <w:bookmarkEnd w:id="144"/>
    <w:p w:rsidR="00C61962" w:rsidRDefault="00C61962" w:rsidP="00C61962">
      <w:pPr>
        <w:pStyle w:val="af2"/>
      </w:pPr>
      <w:r>
        <w:rPr>
          <w:rFonts w:hint="eastAsia"/>
        </w:rPr>
        <w:t>装箱清单；</w:t>
      </w:r>
    </w:p>
    <w:p w:rsidR="00C61962" w:rsidRDefault="00C61962" w:rsidP="00C61962">
      <w:pPr>
        <w:pStyle w:val="af2"/>
      </w:pPr>
      <w:r>
        <w:rPr>
          <w:rFonts w:hint="eastAsia"/>
        </w:rPr>
        <w:t>产品合格证</w:t>
      </w:r>
      <w:r w:rsidR="006A0D20">
        <w:rPr>
          <w:rFonts w:hint="eastAsia"/>
        </w:rPr>
        <w:t>；</w:t>
      </w:r>
    </w:p>
    <w:p w:rsidR="00C61962" w:rsidRDefault="00C61962" w:rsidP="00C61962">
      <w:pPr>
        <w:pStyle w:val="af2"/>
      </w:pPr>
      <w:r>
        <w:rPr>
          <w:rFonts w:hint="eastAsia"/>
        </w:rPr>
        <w:t>使用说明书，并应符合GB/T 9969的规定</w:t>
      </w:r>
      <w:r w:rsidR="006A0D20">
        <w:rPr>
          <w:rFonts w:hint="eastAsia"/>
        </w:rPr>
        <w:t>；</w:t>
      </w:r>
    </w:p>
    <w:p w:rsidR="00C61962" w:rsidRDefault="00C61962" w:rsidP="00C61962">
      <w:pPr>
        <w:pStyle w:val="af2"/>
      </w:pPr>
      <w:r>
        <w:rPr>
          <w:rFonts w:hint="eastAsia"/>
        </w:rPr>
        <w:t>质量保证书和保修卡</w:t>
      </w:r>
      <w:r w:rsidR="006A0D20">
        <w:rPr>
          <w:rFonts w:hint="eastAsia"/>
        </w:rPr>
        <w:t>；</w:t>
      </w:r>
    </w:p>
    <w:p w:rsidR="00C61962" w:rsidRDefault="00C61962" w:rsidP="00C61962">
      <w:pPr>
        <w:pStyle w:val="af2"/>
      </w:pPr>
      <w:r>
        <w:rPr>
          <w:rFonts w:hint="eastAsia"/>
        </w:rPr>
        <w:t>随机工具。</w:t>
      </w:r>
    </w:p>
    <w:p w:rsidR="00C61962" w:rsidRDefault="00C61962" w:rsidP="006A0D20">
      <w:pPr>
        <w:pStyle w:val="afffffffff1"/>
      </w:pPr>
      <w:r>
        <w:rPr>
          <w:rFonts w:hint="eastAsia"/>
        </w:rPr>
        <w:t>包装箱外的收发货标志，应符合GB/T 6388的规定。</w:t>
      </w:r>
    </w:p>
    <w:p w:rsidR="00C61962" w:rsidRDefault="00C61962" w:rsidP="00C61962">
      <w:pPr>
        <w:pStyle w:val="affd"/>
        <w:spacing w:before="120" w:after="120"/>
      </w:pPr>
      <w:bookmarkStart w:id="145" w:name="_Toc201845508"/>
      <w:bookmarkStart w:id="146" w:name="_Toc201847428"/>
      <w:r>
        <w:rPr>
          <w:rFonts w:hint="eastAsia"/>
        </w:rPr>
        <w:t>运输</w:t>
      </w:r>
      <w:bookmarkEnd w:id="145"/>
      <w:bookmarkEnd w:id="146"/>
    </w:p>
    <w:p w:rsidR="006A0D20" w:rsidRDefault="006A0D20" w:rsidP="006A0D20">
      <w:pPr>
        <w:pStyle w:val="afffffffff1"/>
      </w:pPr>
      <w:r>
        <w:rPr>
          <w:rFonts w:hint="eastAsia"/>
        </w:rPr>
        <w:t>筒体在运输过程中应轻装轻卸，避免碰撞、挤压和剧烈振动。</w:t>
      </w:r>
    </w:p>
    <w:p w:rsidR="006A0D20" w:rsidRDefault="006A0D20" w:rsidP="006A0D20">
      <w:pPr>
        <w:pStyle w:val="afffffffff1"/>
      </w:pPr>
      <w:r>
        <w:rPr>
          <w:rFonts w:hint="eastAsia"/>
        </w:rPr>
        <w:t>运输工具应清洁、干燥，并有防雨、防潮措施。</w:t>
      </w:r>
    </w:p>
    <w:p w:rsidR="00C61962" w:rsidRDefault="00C61962" w:rsidP="00C61962">
      <w:pPr>
        <w:pStyle w:val="affd"/>
        <w:spacing w:before="120" w:after="120"/>
      </w:pPr>
      <w:bookmarkStart w:id="147" w:name="_Toc201845509"/>
      <w:bookmarkStart w:id="148" w:name="_Toc201847429"/>
      <w:r>
        <w:rPr>
          <w:rFonts w:hint="eastAsia"/>
        </w:rPr>
        <w:t>贮存</w:t>
      </w:r>
      <w:bookmarkEnd w:id="147"/>
      <w:bookmarkEnd w:id="148"/>
    </w:p>
    <w:p w:rsidR="006A0D20" w:rsidRDefault="006A0D20" w:rsidP="006A0D20">
      <w:pPr>
        <w:pStyle w:val="afffffffff1"/>
      </w:pPr>
      <w:r>
        <w:rPr>
          <w:rFonts w:hint="eastAsia"/>
        </w:rPr>
        <w:t>筒体应贮存在干燥、通风、无腐蚀性气体的仓库内，环境温度为-10℃</w:t>
      </w:r>
      <w:r w:rsidR="00593CA6">
        <w:rPr>
          <w:rFonts w:hAnsi="宋体" w:hint="eastAsia"/>
        </w:rPr>
        <w:t>～</w:t>
      </w:r>
      <w:r>
        <w:rPr>
          <w:rFonts w:hint="eastAsia"/>
        </w:rPr>
        <w:t>45℃、避免阳光直射和雨淋。</w:t>
      </w:r>
    </w:p>
    <w:p w:rsidR="006A0D20" w:rsidRDefault="006A0D20" w:rsidP="006A0D20">
      <w:pPr>
        <w:pStyle w:val="afffffffff1"/>
      </w:pPr>
      <w:r>
        <w:rPr>
          <w:rFonts w:hint="eastAsia"/>
        </w:rPr>
        <w:t>贮存时应按规格、型号分类存放，堆放高度应符合相关规定，防止筒体变形或损坏。</w:t>
      </w:r>
    </w:p>
    <w:p w:rsidR="006A0D20" w:rsidRDefault="006A0D20" w:rsidP="006A0D20">
      <w:pPr>
        <w:pStyle w:val="afffffffff1"/>
      </w:pPr>
      <w:r>
        <w:rPr>
          <w:rFonts w:hint="eastAsia"/>
        </w:rPr>
        <w:t>贮存期不超过一年。</w:t>
      </w:r>
    </w:p>
    <w:p w:rsidR="00633644" w:rsidRDefault="00262C54" w:rsidP="00262C54">
      <w:pPr>
        <w:pStyle w:val="affb"/>
      </w:pPr>
      <w:bookmarkStart w:id="149" w:name="BookMark8"/>
      <w:bookmarkStart w:id="150" w:name="_Toc201845510"/>
      <w:bookmarkStart w:id="151" w:name="_Toc201847430"/>
      <w:r>
        <w:rPr>
          <w:noProof/>
        </w:rPr>
        <w:drawing>
          <wp:inline distT="0" distB="0" distL="0" distR="0" wp14:anchorId="6E62F69D" wp14:editId="659BC9E3">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8"/>
      <w:bookmarkEnd w:id="149"/>
      <w:bookmarkEnd w:id="150"/>
      <w:bookmarkEnd w:id="151"/>
    </w:p>
    <w:sectPr w:rsidR="00633644" w:rsidSect="00612D40">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366" w:rsidRDefault="00461366" w:rsidP="00D86DB7">
      <w:r>
        <w:separator/>
      </w:r>
    </w:p>
    <w:p w:rsidR="00461366" w:rsidRDefault="00461366"/>
    <w:p w:rsidR="00461366" w:rsidRDefault="00461366"/>
  </w:endnote>
  <w:endnote w:type="continuationSeparator" w:id="0">
    <w:p w:rsidR="00461366" w:rsidRDefault="00461366" w:rsidP="00D86DB7">
      <w:r>
        <w:continuationSeparator/>
      </w:r>
    </w:p>
    <w:p w:rsidR="00461366" w:rsidRDefault="00461366"/>
    <w:p w:rsidR="00461366" w:rsidRDefault="0046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02D" w:rsidRDefault="00AD502D">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02D" w:rsidRPr="00324EDD" w:rsidRDefault="00AD502D"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02D" w:rsidRDefault="00AD502D" w:rsidP="00C94DF2">
    <w:pPr>
      <w:pStyle w:val="affff8"/>
    </w:pPr>
    <w:r>
      <w:fldChar w:fldCharType="begin"/>
    </w:r>
    <w:r>
      <w:instrText>PAGE   \* MERGEFORMAT</w:instrText>
    </w:r>
    <w:r>
      <w:fldChar w:fldCharType="separate"/>
    </w:r>
    <w:r w:rsidR="00AE2BF4" w:rsidRPr="00AE2BF4">
      <w:rPr>
        <w:noProof/>
        <w:lang w:val="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366" w:rsidRDefault="00461366" w:rsidP="00D86DB7">
      <w:r>
        <w:separator/>
      </w:r>
    </w:p>
  </w:footnote>
  <w:footnote w:type="continuationSeparator" w:id="0">
    <w:p w:rsidR="00461366" w:rsidRDefault="00461366" w:rsidP="00D86DB7">
      <w:r>
        <w:continuationSeparator/>
      </w:r>
    </w:p>
    <w:p w:rsidR="00461366" w:rsidRDefault="00461366"/>
    <w:p w:rsidR="00461366" w:rsidRDefault="004613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02D" w:rsidRPr="00E70388" w:rsidRDefault="00AD502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02D" w:rsidRPr="00324EDD" w:rsidRDefault="00AD502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02D" w:rsidRDefault="00AD502D"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07E33">
      <w:rPr>
        <w:noProof/>
      </w:rP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02D" w:rsidRPr="00D84FA1" w:rsidRDefault="00AD502D" w:rsidP="00A2271D">
    <w:pPr>
      <w:pStyle w:val="afffff0"/>
    </w:pPr>
    <w:r>
      <w:fldChar w:fldCharType="begin"/>
    </w:r>
    <w:r>
      <w:instrText xml:space="preserve"> STYLEREF  标准文件_文件编号  \* MERGEFORMAT </w:instrText>
    </w:r>
    <w:r>
      <w:fldChar w:fldCharType="separate"/>
    </w:r>
    <w:r w:rsidR="00AE2BF4">
      <w:t>T/XXX XXXX</w:t>
    </w:r>
    <w:r w:rsidR="00AE2BF4">
      <w:t>—</w:t>
    </w:r>
    <w:r w:rsidR="00AE2BF4">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96"/>
    <w:rsid w:val="0000040A"/>
    <w:rsid w:val="00000A94"/>
    <w:rsid w:val="00001972"/>
    <w:rsid w:val="00001D9A"/>
    <w:rsid w:val="0000794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67A"/>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5F2"/>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E10"/>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17C"/>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C25"/>
    <w:rsid w:val="00233D64"/>
    <w:rsid w:val="00234779"/>
    <w:rsid w:val="0023482A"/>
    <w:rsid w:val="002359CB"/>
    <w:rsid w:val="00243540"/>
    <w:rsid w:val="0024497B"/>
    <w:rsid w:val="0024515B"/>
    <w:rsid w:val="002454A3"/>
    <w:rsid w:val="00246021"/>
    <w:rsid w:val="0024666E"/>
    <w:rsid w:val="00247F52"/>
    <w:rsid w:val="00250B25"/>
    <w:rsid w:val="00250BBE"/>
    <w:rsid w:val="002515C2"/>
    <w:rsid w:val="0025194F"/>
    <w:rsid w:val="0026148A"/>
    <w:rsid w:val="00262696"/>
    <w:rsid w:val="00262C54"/>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956"/>
    <w:rsid w:val="002F7AF6"/>
    <w:rsid w:val="00300E63"/>
    <w:rsid w:val="00302F5F"/>
    <w:rsid w:val="0030441D"/>
    <w:rsid w:val="00306063"/>
    <w:rsid w:val="0030652A"/>
    <w:rsid w:val="00313B85"/>
    <w:rsid w:val="00317371"/>
    <w:rsid w:val="00317988"/>
    <w:rsid w:val="003221B4"/>
    <w:rsid w:val="0032258D"/>
    <w:rsid w:val="00322E62"/>
    <w:rsid w:val="00324D13"/>
    <w:rsid w:val="00324EDD"/>
    <w:rsid w:val="00330886"/>
    <w:rsid w:val="003331E4"/>
    <w:rsid w:val="00336C64"/>
    <w:rsid w:val="00337162"/>
    <w:rsid w:val="0034194F"/>
    <w:rsid w:val="00344605"/>
    <w:rsid w:val="003474AA"/>
    <w:rsid w:val="003476CB"/>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7E2"/>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31BB"/>
    <w:rsid w:val="003B5BF0"/>
    <w:rsid w:val="003B60BF"/>
    <w:rsid w:val="003B6BE3"/>
    <w:rsid w:val="003C010C"/>
    <w:rsid w:val="003C0A6C"/>
    <w:rsid w:val="003C14F8"/>
    <w:rsid w:val="003C5A43"/>
    <w:rsid w:val="003C6FFF"/>
    <w:rsid w:val="003C7C00"/>
    <w:rsid w:val="003D0519"/>
    <w:rsid w:val="003D0FF6"/>
    <w:rsid w:val="003D262C"/>
    <w:rsid w:val="003D3EAA"/>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611A"/>
    <w:rsid w:val="00432DAA"/>
    <w:rsid w:val="00434305"/>
    <w:rsid w:val="00435DF7"/>
    <w:rsid w:val="0043741A"/>
    <w:rsid w:val="0044083F"/>
    <w:rsid w:val="00441AE7"/>
    <w:rsid w:val="00442F67"/>
    <w:rsid w:val="00445574"/>
    <w:rsid w:val="004467FB"/>
    <w:rsid w:val="00452D6B"/>
    <w:rsid w:val="00454484"/>
    <w:rsid w:val="0045517B"/>
    <w:rsid w:val="00456D5D"/>
    <w:rsid w:val="00461366"/>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51AC"/>
    <w:rsid w:val="004C1FBC"/>
    <w:rsid w:val="004C25A2"/>
    <w:rsid w:val="004C3F1D"/>
    <w:rsid w:val="004C458D"/>
    <w:rsid w:val="004C7556"/>
    <w:rsid w:val="004C7E8B"/>
    <w:rsid w:val="004C7E9D"/>
    <w:rsid w:val="004C7F67"/>
    <w:rsid w:val="004D076D"/>
    <w:rsid w:val="004D0EF1"/>
    <w:rsid w:val="004D2253"/>
    <w:rsid w:val="004D4406"/>
    <w:rsid w:val="004D4712"/>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C27"/>
    <w:rsid w:val="005073F0"/>
    <w:rsid w:val="00510A7B"/>
    <w:rsid w:val="00512F6E"/>
    <w:rsid w:val="00513038"/>
    <w:rsid w:val="00514174"/>
    <w:rsid w:val="00516088"/>
    <w:rsid w:val="00516B0B"/>
    <w:rsid w:val="005220EC"/>
    <w:rsid w:val="00523F95"/>
    <w:rsid w:val="005245A2"/>
    <w:rsid w:val="00524D65"/>
    <w:rsid w:val="00524EFA"/>
    <w:rsid w:val="00525B16"/>
    <w:rsid w:val="00533D04"/>
    <w:rsid w:val="00534804"/>
    <w:rsid w:val="00534BDF"/>
    <w:rsid w:val="005354EA"/>
    <w:rsid w:val="0053585F"/>
    <w:rsid w:val="00535EC4"/>
    <w:rsid w:val="00535ED9"/>
    <w:rsid w:val="0053692B"/>
    <w:rsid w:val="00541853"/>
    <w:rsid w:val="00543BDA"/>
    <w:rsid w:val="005441CC"/>
    <w:rsid w:val="0054760F"/>
    <w:rsid w:val="005479DA"/>
    <w:rsid w:val="00547BCC"/>
    <w:rsid w:val="0055013B"/>
    <w:rsid w:val="00551F6F"/>
    <w:rsid w:val="00555044"/>
    <w:rsid w:val="00555C1B"/>
    <w:rsid w:val="00561475"/>
    <w:rsid w:val="00562308"/>
    <w:rsid w:val="0056487B"/>
    <w:rsid w:val="00564FB9"/>
    <w:rsid w:val="00573D9E"/>
    <w:rsid w:val="005801E3"/>
    <w:rsid w:val="00581802"/>
    <w:rsid w:val="005836A8"/>
    <w:rsid w:val="0058409C"/>
    <w:rsid w:val="00584262"/>
    <w:rsid w:val="00586630"/>
    <w:rsid w:val="00587ADD"/>
    <w:rsid w:val="00593A49"/>
    <w:rsid w:val="00593CA6"/>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8C4"/>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696"/>
    <w:rsid w:val="00612952"/>
    <w:rsid w:val="00612D40"/>
    <w:rsid w:val="0061430F"/>
    <w:rsid w:val="00614CC1"/>
    <w:rsid w:val="00615A9D"/>
    <w:rsid w:val="00617387"/>
    <w:rsid w:val="006205D6"/>
    <w:rsid w:val="006252D8"/>
    <w:rsid w:val="006259BC"/>
    <w:rsid w:val="006262EE"/>
    <w:rsid w:val="0062636B"/>
    <w:rsid w:val="00632182"/>
    <w:rsid w:val="00632AE0"/>
    <w:rsid w:val="00633644"/>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0D20"/>
    <w:rsid w:val="006A25E5"/>
    <w:rsid w:val="006A2B46"/>
    <w:rsid w:val="006A336D"/>
    <w:rsid w:val="006A37B9"/>
    <w:rsid w:val="006B2672"/>
    <w:rsid w:val="006B5008"/>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2AEF"/>
    <w:rsid w:val="00704387"/>
    <w:rsid w:val="00707669"/>
    <w:rsid w:val="00711CBA"/>
    <w:rsid w:val="00711FB5"/>
    <w:rsid w:val="00712A01"/>
    <w:rsid w:val="00714F58"/>
    <w:rsid w:val="00715080"/>
    <w:rsid w:val="00722FBF"/>
    <w:rsid w:val="00722FC2"/>
    <w:rsid w:val="00724E1B"/>
    <w:rsid w:val="00725949"/>
    <w:rsid w:val="00727FA2"/>
    <w:rsid w:val="007322D9"/>
    <w:rsid w:val="00732BC0"/>
    <w:rsid w:val="0073720F"/>
    <w:rsid w:val="00737796"/>
    <w:rsid w:val="0074165C"/>
    <w:rsid w:val="00742C35"/>
    <w:rsid w:val="007432CA"/>
    <w:rsid w:val="007435DC"/>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36B"/>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C6582"/>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7E9A"/>
    <w:rsid w:val="0089049D"/>
    <w:rsid w:val="008908B3"/>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0B90"/>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6BEA"/>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22F"/>
    <w:rsid w:val="00AD1A94"/>
    <w:rsid w:val="00AD1C05"/>
    <w:rsid w:val="00AD4126"/>
    <w:rsid w:val="00AD421C"/>
    <w:rsid w:val="00AD44FA"/>
    <w:rsid w:val="00AD502D"/>
    <w:rsid w:val="00AE070A"/>
    <w:rsid w:val="00AE101C"/>
    <w:rsid w:val="00AE2A69"/>
    <w:rsid w:val="00AE2BF4"/>
    <w:rsid w:val="00AE37E5"/>
    <w:rsid w:val="00AE5EB4"/>
    <w:rsid w:val="00AF0C18"/>
    <w:rsid w:val="00AF47C5"/>
    <w:rsid w:val="00AF5398"/>
    <w:rsid w:val="00AF78C6"/>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743"/>
    <w:rsid w:val="00B939B1"/>
    <w:rsid w:val="00B96D40"/>
    <w:rsid w:val="00B97386"/>
    <w:rsid w:val="00BA263B"/>
    <w:rsid w:val="00BA42B2"/>
    <w:rsid w:val="00BA58D4"/>
    <w:rsid w:val="00BA5B9E"/>
    <w:rsid w:val="00BA7C9A"/>
    <w:rsid w:val="00BB5F8F"/>
    <w:rsid w:val="00BB657A"/>
    <w:rsid w:val="00BC052C"/>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0295"/>
    <w:rsid w:val="00C013AD"/>
    <w:rsid w:val="00C04904"/>
    <w:rsid w:val="00C056B3"/>
    <w:rsid w:val="00C103E5"/>
    <w:rsid w:val="00C13319"/>
    <w:rsid w:val="00C13EE9"/>
    <w:rsid w:val="00C20E1B"/>
    <w:rsid w:val="00C21540"/>
    <w:rsid w:val="00C21906"/>
    <w:rsid w:val="00C21BFA"/>
    <w:rsid w:val="00C24C8D"/>
    <w:rsid w:val="00C24ECE"/>
    <w:rsid w:val="00C25FE2"/>
    <w:rsid w:val="00C26B53"/>
    <w:rsid w:val="00C279B2"/>
    <w:rsid w:val="00C33E50"/>
    <w:rsid w:val="00C34C20"/>
    <w:rsid w:val="00C35A3E"/>
    <w:rsid w:val="00C42089"/>
    <w:rsid w:val="00C42130"/>
    <w:rsid w:val="00C423A4"/>
    <w:rsid w:val="00C423E3"/>
    <w:rsid w:val="00C44BF5"/>
    <w:rsid w:val="00C51B14"/>
    <w:rsid w:val="00C521D6"/>
    <w:rsid w:val="00C55232"/>
    <w:rsid w:val="00C553A4"/>
    <w:rsid w:val="00C55A06"/>
    <w:rsid w:val="00C55D03"/>
    <w:rsid w:val="00C601BC"/>
    <w:rsid w:val="00C61962"/>
    <w:rsid w:val="00C6329F"/>
    <w:rsid w:val="00C63340"/>
    <w:rsid w:val="00C643F9"/>
    <w:rsid w:val="00C64E95"/>
    <w:rsid w:val="00C71372"/>
    <w:rsid w:val="00C72410"/>
    <w:rsid w:val="00C7287F"/>
    <w:rsid w:val="00C80CB8"/>
    <w:rsid w:val="00C819F8"/>
    <w:rsid w:val="00C8248C"/>
    <w:rsid w:val="00C84189"/>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E23"/>
    <w:rsid w:val="00CD2808"/>
    <w:rsid w:val="00CD28BF"/>
    <w:rsid w:val="00CD4092"/>
    <w:rsid w:val="00CD4A20"/>
    <w:rsid w:val="00CD50A1"/>
    <w:rsid w:val="00CD519E"/>
    <w:rsid w:val="00CE0C4F"/>
    <w:rsid w:val="00CE30EA"/>
    <w:rsid w:val="00CF048A"/>
    <w:rsid w:val="00CF061D"/>
    <w:rsid w:val="00CF155A"/>
    <w:rsid w:val="00CF2947"/>
    <w:rsid w:val="00CF686F"/>
    <w:rsid w:val="00CF6E60"/>
    <w:rsid w:val="00CF7BCA"/>
    <w:rsid w:val="00D008FD"/>
    <w:rsid w:val="00D0321C"/>
    <w:rsid w:val="00D035EC"/>
    <w:rsid w:val="00D06AB1"/>
    <w:rsid w:val="00D06FC1"/>
    <w:rsid w:val="00D072ED"/>
    <w:rsid w:val="00D07A16"/>
    <w:rsid w:val="00D07E33"/>
    <w:rsid w:val="00D1067E"/>
    <w:rsid w:val="00D10F50"/>
    <w:rsid w:val="00D11272"/>
    <w:rsid w:val="00D126F5"/>
    <w:rsid w:val="00D1489E"/>
    <w:rsid w:val="00D20737"/>
    <w:rsid w:val="00D21E81"/>
    <w:rsid w:val="00D223DE"/>
    <w:rsid w:val="00D245CD"/>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11A7"/>
    <w:rsid w:val="00D66846"/>
    <w:rsid w:val="00D675FB"/>
    <w:rsid w:val="00D71F25"/>
    <w:rsid w:val="00D72A9C"/>
    <w:rsid w:val="00D7426A"/>
    <w:rsid w:val="00D77031"/>
    <w:rsid w:val="00D81AAE"/>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3AF"/>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4A4"/>
    <w:rsid w:val="00E11A85"/>
    <w:rsid w:val="00E12495"/>
    <w:rsid w:val="00E15CCD"/>
    <w:rsid w:val="00E202EF"/>
    <w:rsid w:val="00E210B5"/>
    <w:rsid w:val="00E23089"/>
    <w:rsid w:val="00E2552F"/>
    <w:rsid w:val="00E3137A"/>
    <w:rsid w:val="00E32CCF"/>
    <w:rsid w:val="00E34A98"/>
    <w:rsid w:val="00E35D1E"/>
    <w:rsid w:val="00E364F9"/>
    <w:rsid w:val="00E365FA"/>
    <w:rsid w:val="00E36789"/>
    <w:rsid w:val="00E44A83"/>
    <w:rsid w:val="00E45C7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47E"/>
    <w:rsid w:val="00E95D13"/>
    <w:rsid w:val="00E95DD3"/>
    <w:rsid w:val="00E969D5"/>
    <w:rsid w:val="00EA16DF"/>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0911"/>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0154"/>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0E21"/>
    <w:rsid w:val="00FC17B7"/>
    <w:rsid w:val="00FC2CB7"/>
    <w:rsid w:val="00FC4090"/>
    <w:rsid w:val="00FC55B4"/>
    <w:rsid w:val="00FD00E6"/>
    <w:rsid w:val="00FD09A1"/>
    <w:rsid w:val="00FD2A7C"/>
    <w:rsid w:val="00FD59EB"/>
    <w:rsid w:val="00FD7299"/>
    <w:rsid w:val="00FE1FBE"/>
    <w:rsid w:val="00FE2457"/>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30303-869A-490E-BB88-D2AC0B56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4955071">
      <w:bodyDiv w:val="1"/>
      <w:marLeft w:val="0"/>
      <w:marRight w:val="0"/>
      <w:marTop w:val="0"/>
      <w:marBottom w:val="0"/>
      <w:divBdr>
        <w:top w:val="none" w:sz="0" w:space="0" w:color="auto"/>
        <w:left w:val="none" w:sz="0" w:space="0" w:color="auto"/>
        <w:bottom w:val="none" w:sz="0" w:space="0" w:color="auto"/>
        <w:right w:val="none" w:sz="0" w:space="0" w:color="auto"/>
      </w:divBdr>
      <w:divsChild>
        <w:div w:id="955797002">
          <w:marLeft w:val="0"/>
          <w:marRight w:val="0"/>
          <w:marTop w:val="120"/>
          <w:marBottom w:val="120"/>
          <w:divBdr>
            <w:top w:val="none" w:sz="0" w:space="0" w:color="auto"/>
            <w:left w:val="none" w:sz="0" w:space="0" w:color="auto"/>
            <w:bottom w:val="none" w:sz="0" w:space="0" w:color="auto"/>
            <w:right w:val="none" w:sz="0" w:space="0" w:color="auto"/>
          </w:divBdr>
        </w:div>
        <w:div w:id="2025284999">
          <w:marLeft w:val="0"/>
          <w:marRight w:val="0"/>
          <w:marTop w:val="120"/>
          <w:marBottom w:val="120"/>
          <w:divBdr>
            <w:top w:val="none" w:sz="0" w:space="0" w:color="auto"/>
            <w:left w:val="none" w:sz="0" w:space="0" w:color="auto"/>
            <w:bottom w:val="none" w:sz="0" w:space="0" w:color="auto"/>
            <w:right w:val="none" w:sz="0" w:space="0" w:color="auto"/>
          </w:divBdr>
        </w:div>
      </w:divsChild>
    </w:div>
    <w:div w:id="336348300">
      <w:bodyDiv w:val="1"/>
      <w:marLeft w:val="0"/>
      <w:marRight w:val="0"/>
      <w:marTop w:val="0"/>
      <w:marBottom w:val="0"/>
      <w:divBdr>
        <w:top w:val="none" w:sz="0" w:space="0" w:color="auto"/>
        <w:left w:val="none" w:sz="0" w:space="0" w:color="auto"/>
        <w:bottom w:val="none" w:sz="0" w:space="0" w:color="auto"/>
        <w:right w:val="none" w:sz="0" w:space="0" w:color="auto"/>
      </w:divBdr>
      <w:divsChild>
        <w:div w:id="1717316426">
          <w:marLeft w:val="0"/>
          <w:marRight w:val="0"/>
          <w:marTop w:val="360"/>
          <w:marBottom w:val="180"/>
          <w:divBdr>
            <w:top w:val="none" w:sz="0" w:space="0" w:color="auto"/>
            <w:left w:val="none" w:sz="0" w:space="0" w:color="auto"/>
            <w:bottom w:val="none" w:sz="0" w:space="0" w:color="auto"/>
            <w:right w:val="none" w:sz="0" w:space="0" w:color="auto"/>
          </w:divBdr>
        </w:div>
        <w:div w:id="969090998">
          <w:marLeft w:val="0"/>
          <w:marRight w:val="0"/>
          <w:marTop w:val="360"/>
          <w:marBottom w:val="180"/>
          <w:divBdr>
            <w:top w:val="none" w:sz="0" w:space="0" w:color="auto"/>
            <w:left w:val="none" w:sz="0" w:space="0" w:color="auto"/>
            <w:bottom w:val="none" w:sz="0" w:space="0" w:color="auto"/>
            <w:right w:val="none" w:sz="0" w:space="0" w:color="auto"/>
          </w:divBdr>
        </w:div>
      </w:divsChild>
    </w:div>
    <w:div w:id="558594742">
      <w:bodyDiv w:val="1"/>
      <w:marLeft w:val="0"/>
      <w:marRight w:val="0"/>
      <w:marTop w:val="0"/>
      <w:marBottom w:val="0"/>
      <w:divBdr>
        <w:top w:val="none" w:sz="0" w:space="0" w:color="auto"/>
        <w:left w:val="none" w:sz="0" w:space="0" w:color="auto"/>
        <w:bottom w:val="none" w:sz="0" w:space="0" w:color="auto"/>
        <w:right w:val="none" w:sz="0" w:space="0" w:color="auto"/>
      </w:divBdr>
      <w:divsChild>
        <w:div w:id="1400445607">
          <w:marLeft w:val="0"/>
          <w:marRight w:val="0"/>
          <w:marTop w:val="540"/>
          <w:marBottom w:val="270"/>
          <w:divBdr>
            <w:top w:val="none" w:sz="0" w:space="0" w:color="auto"/>
            <w:left w:val="none" w:sz="0" w:space="0" w:color="auto"/>
            <w:bottom w:val="none" w:sz="0" w:space="0" w:color="auto"/>
            <w:right w:val="none" w:sz="0" w:space="0" w:color="auto"/>
          </w:divBdr>
        </w:div>
        <w:div w:id="2048986294">
          <w:marLeft w:val="0"/>
          <w:marRight w:val="0"/>
          <w:marTop w:val="450"/>
          <w:marBottom w:val="240"/>
          <w:divBdr>
            <w:top w:val="none" w:sz="0" w:space="0" w:color="auto"/>
            <w:left w:val="none" w:sz="0" w:space="0" w:color="auto"/>
            <w:bottom w:val="none" w:sz="0" w:space="0" w:color="auto"/>
            <w:right w:val="none" w:sz="0" w:space="0" w:color="auto"/>
          </w:divBdr>
        </w:div>
        <w:div w:id="1060521956">
          <w:marLeft w:val="0"/>
          <w:marRight w:val="0"/>
          <w:marTop w:val="120"/>
          <w:marBottom w:val="120"/>
          <w:divBdr>
            <w:top w:val="none" w:sz="0" w:space="0" w:color="auto"/>
            <w:left w:val="none" w:sz="0" w:space="0" w:color="auto"/>
            <w:bottom w:val="none" w:sz="0" w:space="0" w:color="auto"/>
            <w:right w:val="none" w:sz="0" w:space="0" w:color="auto"/>
          </w:divBdr>
        </w:div>
        <w:div w:id="62919402">
          <w:marLeft w:val="0"/>
          <w:marRight w:val="0"/>
          <w:marTop w:val="450"/>
          <w:marBottom w:val="240"/>
          <w:divBdr>
            <w:top w:val="none" w:sz="0" w:space="0" w:color="auto"/>
            <w:left w:val="none" w:sz="0" w:space="0" w:color="auto"/>
            <w:bottom w:val="none" w:sz="0" w:space="0" w:color="auto"/>
            <w:right w:val="none" w:sz="0" w:space="0" w:color="auto"/>
          </w:divBdr>
        </w:div>
        <w:div w:id="400710729">
          <w:marLeft w:val="0"/>
          <w:marRight w:val="0"/>
          <w:marTop w:val="120"/>
          <w:marBottom w:val="120"/>
          <w:divBdr>
            <w:top w:val="none" w:sz="0" w:space="0" w:color="auto"/>
            <w:left w:val="none" w:sz="0" w:space="0" w:color="auto"/>
            <w:bottom w:val="none" w:sz="0" w:space="0" w:color="auto"/>
            <w:right w:val="none" w:sz="0" w:space="0" w:color="auto"/>
          </w:divBdr>
        </w:div>
        <w:div w:id="2045129271">
          <w:marLeft w:val="0"/>
          <w:marRight w:val="0"/>
          <w:marTop w:val="450"/>
          <w:marBottom w:val="240"/>
          <w:divBdr>
            <w:top w:val="none" w:sz="0" w:space="0" w:color="auto"/>
            <w:left w:val="none" w:sz="0" w:space="0" w:color="auto"/>
            <w:bottom w:val="none" w:sz="0" w:space="0" w:color="auto"/>
            <w:right w:val="none" w:sz="0" w:space="0" w:color="auto"/>
          </w:divBdr>
        </w:div>
        <w:div w:id="213396539">
          <w:marLeft w:val="0"/>
          <w:marRight w:val="0"/>
          <w:marTop w:val="120"/>
          <w:marBottom w:val="120"/>
          <w:divBdr>
            <w:top w:val="none" w:sz="0" w:space="0" w:color="auto"/>
            <w:left w:val="none" w:sz="0" w:space="0" w:color="auto"/>
            <w:bottom w:val="none" w:sz="0" w:space="0" w:color="auto"/>
            <w:right w:val="none" w:sz="0" w:space="0" w:color="auto"/>
          </w:divBdr>
        </w:div>
        <w:div w:id="1595941000">
          <w:marLeft w:val="0"/>
          <w:marRight w:val="0"/>
          <w:marTop w:val="450"/>
          <w:marBottom w:val="240"/>
          <w:divBdr>
            <w:top w:val="none" w:sz="0" w:space="0" w:color="auto"/>
            <w:left w:val="none" w:sz="0" w:space="0" w:color="auto"/>
            <w:bottom w:val="none" w:sz="0" w:space="0" w:color="auto"/>
            <w:right w:val="none" w:sz="0" w:space="0" w:color="auto"/>
          </w:divBdr>
        </w:div>
        <w:div w:id="161091132">
          <w:marLeft w:val="0"/>
          <w:marRight w:val="0"/>
          <w:marTop w:val="120"/>
          <w:marBottom w:val="120"/>
          <w:divBdr>
            <w:top w:val="none" w:sz="0" w:space="0" w:color="auto"/>
            <w:left w:val="none" w:sz="0" w:space="0" w:color="auto"/>
            <w:bottom w:val="none" w:sz="0" w:space="0" w:color="auto"/>
            <w:right w:val="none" w:sz="0" w:space="0" w:color="auto"/>
          </w:divBdr>
        </w:div>
        <w:div w:id="343091904">
          <w:marLeft w:val="0"/>
          <w:marRight w:val="0"/>
          <w:marTop w:val="450"/>
          <w:marBottom w:val="240"/>
          <w:divBdr>
            <w:top w:val="none" w:sz="0" w:space="0" w:color="auto"/>
            <w:left w:val="none" w:sz="0" w:space="0" w:color="auto"/>
            <w:bottom w:val="none" w:sz="0" w:space="0" w:color="auto"/>
            <w:right w:val="none" w:sz="0" w:space="0" w:color="auto"/>
          </w:divBdr>
        </w:div>
        <w:div w:id="212499801">
          <w:marLeft w:val="0"/>
          <w:marRight w:val="0"/>
          <w:marTop w:val="120"/>
          <w:marBottom w:val="120"/>
          <w:divBdr>
            <w:top w:val="none" w:sz="0" w:space="0" w:color="auto"/>
            <w:left w:val="none" w:sz="0" w:space="0" w:color="auto"/>
            <w:bottom w:val="none" w:sz="0" w:space="0" w:color="auto"/>
            <w:right w:val="none" w:sz="0" w:space="0" w:color="auto"/>
          </w:divBdr>
        </w:div>
        <w:div w:id="1686324207">
          <w:marLeft w:val="0"/>
          <w:marRight w:val="0"/>
          <w:marTop w:val="540"/>
          <w:marBottom w:val="270"/>
          <w:divBdr>
            <w:top w:val="none" w:sz="0" w:space="0" w:color="auto"/>
            <w:left w:val="none" w:sz="0" w:space="0" w:color="auto"/>
            <w:bottom w:val="none" w:sz="0" w:space="0" w:color="auto"/>
            <w:right w:val="none" w:sz="0" w:space="0" w:color="auto"/>
          </w:divBdr>
        </w:div>
        <w:div w:id="832138363">
          <w:marLeft w:val="0"/>
          <w:marRight w:val="0"/>
          <w:marTop w:val="450"/>
          <w:marBottom w:val="240"/>
          <w:divBdr>
            <w:top w:val="none" w:sz="0" w:space="0" w:color="auto"/>
            <w:left w:val="none" w:sz="0" w:space="0" w:color="auto"/>
            <w:bottom w:val="none" w:sz="0" w:space="0" w:color="auto"/>
            <w:right w:val="none" w:sz="0" w:space="0" w:color="auto"/>
          </w:divBdr>
        </w:div>
        <w:div w:id="1515611051">
          <w:marLeft w:val="0"/>
          <w:marRight w:val="0"/>
          <w:marTop w:val="360"/>
          <w:marBottom w:val="180"/>
          <w:divBdr>
            <w:top w:val="none" w:sz="0" w:space="0" w:color="auto"/>
            <w:left w:val="none" w:sz="0" w:space="0" w:color="auto"/>
            <w:bottom w:val="none" w:sz="0" w:space="0" w:color="auto"/>
            <w:right w:val="none" w:sz="0" w:space="0" w:color="auto"/>
          </w:divBdr>
        </w:div>
        <w:div w:id="859585936">
          <w:marLeft w:val="0"/>
          <w:marRight w:val="0"/>
          <w:marTop w:val="120"/>
          <w:marBottom w:val="120"/>
          <w:divBdr>
            <w:top w:val="none" w:sz="0" w:space="0" w:color="auto"/>
            <w:left w:val="none" w:sz="0" w:space="0" w:color="auto"/>
            <w:bottom w:val="none" w:sz="0" w:space="0" w:color="auto"/>
            <w:right w:val="none" w:sz="0" w:space="0" w:color="auto"/>
          </w:divBdr>
        </w:div>
        <w:div w:id="1437559017">
          <w:marLeft w:val="0"/>
          <w:marRight w:val="0"/>
          <w:marTop w:val="360"/>
          <w:marBottom w:val="180"/>
          <w:divBdr>
            <w:top w:val="none" w:sz="0" w:space="0" w:color="auto"/>
            <w:left w:val="none" w:sz="0" w:space="0" w:color="auto"/>
            <w:bottom w:val="none" w:sz="0" w:space="0" w:color="auto"/>
            <w:right w:val="none" w:sz="0" w:space="0" w:color="auto"/>
          </w:divBdr>
        </w:div>
        <w:div w:id="1440687731">
          <w:marLeft w:val="0"/>
          <w:marRight w:val="0"/>
          <w:marTop w:val="120"/>
          <w:marBottom w:val="120"/>
          <w:divBdr>
            <w:top w:val="none" w:sz="0" w:space="0" w:color="auto"/>
            <w:left w:val="none" w:sz="0" w:space="0" w:color="auto"/>
            <w:bottom w:val="none" w:sz="0" w:space="0" w:color="auto"/>
            <w:right w:val="none" w:sz="0" w:space="0" w:color="auto"/>
          </w:divBdr>
        </w:div>
        <w:div w:id="539246758">
          <w:marLeft w:val="0"/>
          <w:marRight w:val="0"/>
          <w:marTop w:val="450"/>
          <w:marBottom w:val="240"/>
          <w:divBdr>
            <w:top w:val="none" w:sz="0" w:space="0" w:color="auto"/>
            <w:left w:val="none" w:sz="0" w:space="0" w:color="auto"/>
            <w:bottom w:val="none" w:sz="0" w:space="0" w:color="auto"/>
            <w:right w:val="none" w:sz="0" w:space="0" w:color="auto"/>
          </w:divBdr>
        </w:div>
        <w:div w:id="815102339">
          <w:marLeft w:val="0"/>
          <w:marRight w:val="0"/>
          <w:marTop w:val="120"/>
          <w:marBottom w:val="120"/>
          <w:divBdr>
            <w:top w:val="none" w:sz="0" w:space="0" w:color="auto"/>
            <w:left w:val="none" w:sz="0" w:space="0" w:color="auto"/>
            <w:bottom w:val="none" w:sz="0" w:space="0" w:color="auto"/>
            <w:right w:val="none" w:sz="0" w:space="0" w:color="auto"/>
          </w:divBdr>
        </w:div>
        <w:div w:id="1378628921">
          <w:marLeft w:val="0"/>
          <w:marRight w:val="0"/>
          <w:marTop w:val="450"/>
          <w:marBottom w:val="240"/>
          <w:divBdr>
            <w:top w:val="none" w:sz="0" w:space="0" w:color="auto"/>
            <w:left w:val="none" w:sz="0" w:space="0" w:color="auto"/>
            <w:bottom w:val="none" w:sz="0" w:space="0" w:color="auto"/>
            <w:right w:val="none" w:sz="0" w:space="0" w:color="auto"/>
          </w:divBdr>
        </w:div>
        <w:div w:id="1640915408">
          <w:marLeft w:val="0"/>
          <w:marRight w:val="0"/>
          <w:marTop w:val="120"/>
          <w:marBottom w:val="120"/>
          <w:divBdr>
            <w:top w:val="none" w:sz="0" w:space="0" w:color="auto"/>
            <w:left w:val="none" w:sz="0" w:space="0" w:color="auto"/>
            <w:bottom w:val="none" w:sz="0" w:space="0" w:color="auto"/>
            <w:right w:val="none" w:sz="0" w:space="0" w:color="auto"/>
          </w:divBdr>
        </w:div>
        <w:div w:id="2123497602">
          <w:marLeft w:val="0"/>
          <w:marRight w:val="0"/>
          <w:marTop w:val="540"/>
          <w:marBottom w:val="270"/>
          <w:divBdr>
            <w:top w:val="none" w:sz="0" w:space="0" w:color="auto"/>
            <w:left w:val="none" w:sz="0" w:space="0" w:color="auto"/>
            <w:bottom w:val="none" w:sz="0" w:space="0" w:color="auto"/>
            <w:right w:val="none" w:sz="0" w:space="0" w:color="auto"/>
          </w:divBdr>
        </w:div>
        <w:div w:id="13116184">
          <w:marLeft w:val="0"/>
          <w:marRight w:val="0"/>
          <w:marTop w:val="450"/>
          <w:marBottom w:val="240"/>
          <w:divBdr>
            <w:top w:val="none" w:sz="0" w:space="0" w:color="auto"/>
            <w:left w:val="none" w:sz="0" w:space="0" w:color="auto"/>
            <w:bottom w:val="none" w:sz="0" w:space="0" w:color="auto"/>
            <w:right w:val="none" w:sz="0" w:space="0" w:color="auto"/>
          </w:divBdr>
        </w:div>
        <w:div w:id="1838111249">
          <w:marLeft w:val="0"/>
          <w:marRight w:val="0"/>
          <w:marTop w:val="120"/>
          <w:marBottom w:val="120"/>
          <w:divBdr>
            <w:top w:val="none" w:sz="0" w:space="0" w:color="auto"/>
            <w:left w:val="none" w:sz="0" w:space="0" w:color="auto"/>
            <w:bottom w:val="none" w:sz="0" w:space="0" w:color="auto"/>
            <w:right w:val="none" w:sz="0" w:space="0" w:color="auto"/>
          </w:divBdr>
        </w:div>
        <w:div w:id="1948922057">
          <w:marLeft w:val="0"/>
          <w:marRight w:val="0"/>
          <w:marTop w:val="450"/>
          <w:marBottom w:val="240"/>
          <w:divBdr>
            <w:top w:val="none" w:sz="0" w:space="0" w:color="auto"/>
            <w:left w:val="none" w:sz="0" w:space="0" w:color="auto"/>
            <w:bottom w:val="none" w:sz="0" w:space="0" w:color="auto"/>
            <w:right w:val="none" w:sz="0" w:space="0" w:color="auto"/>
          </w:divBdr>
        </w:div>
        <w:div w:id="653069526">
          <w:marLeft w:val="0"/>
          <w:marRight w:val="0"/>
          <w:marTop w:val="120"/>
          <w:marBottom w:val="120"/>
          <w:divBdr>
            <w:top w:val="none" w:sz="0" w:space="0" w:color="auto"/>
            <w:left w:val="none" w:sz="0" w:space="0" w:color="auto"/>
            <w:bottom w:val="none" w:sz="0" w:space="0" w:color="auto"/>
            <w:right w:val="none" w:sz="0" w:space="0" w:color="auto"/>
          </w:divBdr>
        </w:div>
        <w:div w:id="2046176252">
          <w:marLeft w:val="0"/>
          <w:marRight w:val="0"/>
          <w:marTop w:val="450"/>
          <w:marBottom w:val="240"/>
          <w:divBdr>
            <w:top w:val="none" w:sz="0" w:space="0" w:color="auto"/>
            <w:left w:val="none" w:sz="0" w:space="0" w:color="auto"/>
            <w:bottom w:val="none" w:sz="0" w:space="0" w:color="auto"/>
            <w:right w:val="none" w:sz="0" w:space="0" w:color="auto"/>
          </w:divBdr>
        </w:div>
        <w:div w:id="57632244">
          <w:marLeft w:val="0"/>
          <w:marRight w:val="0"/>
          <w:marTop w:val="120"/>
          <w:marBottom w:val="120"/>
          <w:divBdr>
            <w:top w:val="none" w:sz="0" w:space="0" w:color="auto"/>
            <w:left w:val="none" w:sz="0" w:space="0" w:color="auto"/>
            <w:bottom w:val="none" w:sz="0" w:space="0" w:color="auto"/>
            <w:right w:val="none" w:sz="0" w:space="0" w:color="auto"/>
          </w:divBdr>
        </w:div>
        <w:div w:id="1995838185">
          <w:marLeft w:val="0"/>
          <w:marRight w:val="0"/>
          <w:marTop w:val="540"/>
          <w:marBottom w:val="270"/>
          <w:divBdr>
            <w:top w:val="none" w:sz="0" w:space="0" w:color="auto"/>
            <w:left w:val="none" w:sz="0" w:space="0" w:color="auto"/>
            <w:bottom w:val="none" w:sz="0" w:space="0" w:color="auto"/>
            <w:right w:val="none" w:sz="0" w:space="0" w:color="auto"/>
          </w:divBdr>
        </w:div>
        <w:div w:id="149257155">
          <w:marLeft w:val="0"/>
          <w:marRight w:val="0"/>
          <w:marTop w:val="120"/>
          <w:marBottom w:val="120"/>
          <w:divBdr>
            <w:top w:val="none" w:sz="0" w:space="0" w:color="auto"/>
            <w:left w:val="none" w:sz="0" w:space="0" w:color="auto"/>
            <w:bottom w:val="none" w:sz="0" w:space="0" w:color="auto"/>
            <w:right w:val="none" w:sz="0" w:space="0" w:color="auto"/>
          </w:divBdr>
        </w:div>
      </w:divsChild>
    </w:div>
    <w:div w:id="625350638">
      <w:bodyDiv w:val="1"/>
      <w:marLeft w:val="0"/>
      <w:marRight w:val="0"/>
      <w:marTop w:val="0"/>
      <w:marBottom w:val="0"/>
      <w:divBdr>
        <w:top w:val="none" w:sz="0" w:space="0" w:color="auto"/>
        <w:left w:val="none" w:sz="0" w:space="0" w:color="auto"/>
        <w:bottom w:val="none" w:sz="0" w:space="0" w:color="auto"/>
        <w:right w:val="none" w:sz="0" w:space="0" w:color="auto"/>
      </w:divBdr>
    </w:div>
    <w:div w:id="861942337">
      <w:bodyDiv w:val="1"/>
      <w:marLeft w:val="0"/>
      <w:marRight w:val="0"/>
      <w:marTop w:val="0"/>
      <w:marBottom w:val="0"/>
      <w:divBdr>
        <w:top w:val="none" w:sz="0" w:space="0" w:color="auto"/>
        <w:left w:val="none" w:sz="0" w:space="0" w:color="auto"/>
        <w:bottom w:val="none" w:sz="0" w:space="0" w:color="auto"/>
        <w:right w:val="none" w:sz="0" w:space="0" w:color="auto"/>
      </w:divBdr>
      <w:divsChild>
        <w:div w:id="650183370">
          <w:marLeft w:val="0"/>
          <w:marRight w:val="0"/>
          <w:marTop w:val="360"/>
          <w:marBottom w:val="180"/>
          <w:divBdr>
            <w:top w:val="none" w:sz="0" w:space="0" w:color="auto"/>
            <w:left w:val="none" w:sz="0" w:space="0" w:color="auto"/>
            <w:bottom w:val="none" w:sz="0" w:space="0" w:color="auto"/>
            <w:right w:val="none" w:sz="0" w:space="0" w:color="auto"/>
          </w:divBdr>
        </w:div>
        <w:div w:id="447704083">
          <w:marLeft w:val="0"/>
          <w:marRight w:val="0"/>
          <w:marTop w:val="360"/>
          <w:marBottom w:val="180"/>
          <w:divBdr>
            <w:top w:val="none" w:sz="0" w:space="0" w:color="auto"/>
            <w:left w:val="none" w:sz="0" w:space="0" w:color="auto"/>
            <w:bottom w:val="none" w:sz="0" w:space="0" w:color="auto"/>
            <w:right w:val="none" w:sz="0" w:space="0" w:color="auto"/>
          </w:divBdr>
        </w:div>
      </w:divsChild>
    </w:div>
    <w:div w:id="1048067764">
      <w:bodyDiv w:val="1"/>
      <w:marLeft w:val="0"/>
      <w:marRight w:val="0"/>
      <w:marTop w:val="0"/>
      <w:marBottom w:val="0"/>
      <w:divBdr>
        <w:top w:val="none" w:sz="0" w:space="0" w:color="auto"/>
        <w:left w:val="none" w:sz="0" w:space="0" w:color="auto"/>
        <w:bottom w:val="none" w:sz="0" w:space="0" w:color="auto"/>
        <w:right w:val="none" w:sz="0" w:space="0" w:color="auto"/>
      </w:divBdr>
      <w:divsChild>
        <w:div w:id="1795710758">
          <w:marLeft w:val="0"/>
          <w:marRight w:val="0"/>
          <w:marTop w:val="120"/>
          <w:marBottom w:val="120"/>
          <w:divBdr>
            <w:top w:val="none" w:sz="0" w:space="0" w:color="auto"/>
            <w:left w:val="none" w:sz="0" w:space="0" w:color="auto"/>
            <w:bottom w:val="none" w:sz="0" w:space="0" w:color="auto"/>
            <w:right w:val="none" w:sz="0" w:space="0" w:color="auto"/>
          </w:divBdr>
        </w:div>
        <w:div w:id="631517045">
          <w:marLeft w:val="0"/>
          <w:marRight w:val="0"/>
          <w:marTop w:val="120"/>
          <w:marBottom w:val="120"/>
          <w:divBdr>
            <w:top w:val="none" w:sz="0" w:space="0" w:color="auto"/>
            <w:left w:val="none" w:sz="0" w:space="0" w:color="auto"/>
            <w:bottom w:val="none" w:sz="0" w:space="0" w:color="auto"/>
            <w:right w:val="none" w:sz="0" w:space="0" w:color="auto"/>
          </w:divBdr>
        </w:div>
        <w:div w:id="1968663261">
          <w:marLeft w:val="0"/>
          <w:marRight w:val="0"/>
          <w:marTop w:val="120"/>
          <w:marBottom w:val="120"/>
          <w:divBdr>
            <w:top w:val="none" w:sz="0" w:space="0" w:color="auto"/>
            <w:left w:val="none" w:sz="0" w:space="0" w:color="auto"/>
            <w:bottom w:val="none" w:sz="0" w:space="0" w:color="auto"/>
            <w:right w:val="none" w:sz="0" w:space="0" w:color="auto"/>
          </w:divBdr>
        </w:div>
      </w:divsChild>
    </w:div>
    <w:div w:id="1134444711">
      <w:bodyDiv w:val="1"/>
      <w:marLeft w:val="0"/>
      <w:marRight w:val="0"/>
      <w:marTop w:val="0"/>
      <w:marBottom w:val="0"/>
      <w:divBdr>
        <w:top w:val="none" w:sz="0" w:space="0" w:color="auto"/>
        <w:left w:val="none" w:sz="0" w:space="0" w:color="auto"/>
        <w:bottom w:val="none" w:sz="0" w:space="0" w:color="auto"/>
        <w:right w:val="none" w:sz="0" w:space="0" w:color="auto"/>
      </w:divBdr>
    </w:div>
    <w:div w:id="1537767067">
      <w:bodyDiv w:val="1"/>
      <w:marLeft w:val="0"/>
      <w:marRight w:val="0"/>
      <w:marTop w:val="0"/>
      <w:marBottom w:val="0"/>
      <w:divBdr>
        <w:top w:val="none" w:sz="0" w:space="0" w:color="auto"/>
        <w:left w:val="none" w:sz="0" w:space="0" w:color="auto"/>
        <w:bottom w:val="none" w:sz="0" w:space="0" w:color="auto"/>
        <w:right w:val="none" w:sz="0" w:space="0" w:color="auto"/>
      </w:divBdr>
    </w:div>
    <w:div w:id="1651013913">
      <w:bodyDiv w:val="1"/>
      <w:marLeft w:val="0"/>
      <w:marRight w:val="0"/>
      <w:marTop w:val="0"/>
      <w:marBottom w:val="0"/>
      <w:divBdr>
        <w:top w:val="none" w:sz="0" w:space="0" w:color="auto"/>
        <w:left w:val="none" w:sz="0" w:space="0" w:color="auto"/>
        <w:bottom w:val="none" w:sz="0" w:space="0" w:color="auto"/>
        <w:right w:val="none" w:sz="0" w:space="0" w:color="auto"/>
      </w:divBdr>
      <w:divsChild>
        <w:div w:id="1328436010">
          <w:marLeft w:val="0"/>
          <w:marRight w:val="0"/>
          <w:marTop w:val="540"/>
          <w:marBottom w:val="270"/>
          <w:divBdr>
            <w:top w:val="none" w:sz="0" w:space="0" w:color="auto"/>
            <w:left w:val="none" w:sz="0" w:space="0" w:color="auto"/>
            <w:bottom w:val="none" w:sz="0" w:space="0" w:color="auto"/>
            <w:right w:val="none" w:sz="0" w:space="0" w:color="auto"/>
          </w:divBdr>
        </w:div>
        <w:div w:id="475295257">
          <w:marLeft w:val="0"/>
          <w:marRight w:val="0"/>
          <w:marTop w:val="450"/>
          <w:marBottom w:val="240"/>
          <w:divBdr>
            <w:top w:val="none" w:sz="0" w:space="0" w:color="auto"/>
            <w:left w:val="none" w:sz="0" w:space="0" w:color="auto"/>
            <w:bottom w:val="none" w:sz="0" w:space="0" w:color="auto"/>
            <w:right w:val="none" w:sz="0" w:space="0" w:color="auto"/>
          </w:divBdr>
        </w:div>
        <w:div w:id="1451899025">
          <w:marLeft w:val="0"/>
          <w:marRight w:val="0"/>
          <w:marTop w:val="120"/>
          <w:marBottom w:val="120"/>
          <w:divBdr>
            <w:top w:val="none" w:sz="0" w:space="0" w:color="auto"/>
            <w:left w:val="none" w:sz="0" w:space="0" w:color="auto"/>
            <w:bottom w:val="none" w:sz="0" w:space="0" w:color="auto"/>
            <w:right w:val="none" w:sz="0" w:space="0" w:color="auto"/>
          </w:divBdr>
        </w:div>
        <w:div w:id="933827817">
          <w:marLeft w:val="0"/>
          <w:marRight w:val="0"/>
          <w:marTop w:val="450"/>
          <w:marBottom w:val="240"/>
          <w:divBdr>
            <w:top w:val="none" w:sz="0" w:space="0" w:color="auto"/>
            <w:left w:val="none" w:sz="0" w:space="0" w:color="auto"/>
            <w:bottom w:val="none" w:sz="0" w:space="0" w:color="auto"/>
            <w:right w:val="none" w:sz="0" w:space="0" w:color="auto"/>
          </w:divBdr>
        </w:div>
        <w:div w:id="1285426671">
          <w:marLeft w:val="0"/>
          <w:marRight w:val="0"/>
          <w:marTop w:val="120"/>
          <w:marBottom w:val="120"/>
          <w:divBdr>
            <w:top w:val="none" w:sz="0" w:space="0" w:color="auto"/>
            <w:left w:val="none" w:sz="0" w:space="0" w:color="auto"/>
            <w:bottom w:val="none" w:sz="0" w:space="0" w:color="auto"/>
            <w:right w:val="none" w:sz="0" w:space="0" w:color="auto"/>
          </w:divBdr>
        </w:div>
        <w:div w:id="668141467">
          <w:marLeft w:val="0"/>
          <w:marRight w:val="0"/>
          <w:marTop w:val="450"/>
          <w:marBottom w:val="240"/>
          <w:divBdr>
            <w:top w:val="none" w:sz="0" w:space="0" w:color="auto"/>
            <w:left w:val="none" w:sz="0" w:space="0" w:color="auto"/>
            <w:bottom w:val="none" w:sz="0" w:space="0" w:color="auto"/>
            <w:right w:val="none" w:sz="0" w:space="0" w:color="auto"/>
          </w:divBdr>
        </w:div>
        <w:div w:id="1643073574">
          <w:marLeft w:val="0"/>
          <w:marRight w:val="0"/>
          <w:marTop w:val="120"/>
          <w:marBottom w:val="120"/>
          <w:divBdr>
            <w:top w:val="none" w:sz="0" w:space="0" w:color="auto"/>
            <w:left w:val="none" w:sz="0" w:space="0" w:color="auto"/>
            <w:bottom w:val="none" w:sz="0" w:space="0" w:color="auto"/>
            <w:right w:val="none" w:sz="0" w:space="0" w:color="auto"/>
          </w:divBdr>
        </w:div>
      </w:divsChild>
    </w:div>
    <w:div w:id="1810828472">
      <w:bodyDiv w:val="1"/>
      <w:marLeft w:val="0"/>
      <w:marRight w:val="0"/>
      <w:marTop w:val="0"/>
      <w:marBottom w:val="0"/>
      <w:divBdr>
        <w:top w:val="none" w:sz="0" w:space="0" w:color="auto"/>
        <w:left w:val="none" w:sz="0" w:space="0" w:color="auto"/>
        <w:bottom w:val="none" w:sz="0" w:space="0" w:color="auto"/>
        <w:right w:val="none" w:sz="0" w:space="0" w:color="auto"/>
      </w:divBdr>
      <w:divsChild>
        <w:div w:id="1837458622">
          <w:marLeft w:val="0"/>
          <w:marRight w:val="0"/>
          <w:marTop w:val="120"/>
          <w:marBottom w:val="120"/>
          <w:divBdr>
            <w:top w:val="none" w:sz="0" w:space="0" w:color="auto"/>
            <w:left w:val="none" w:sz="0" w:space="0" w:color="auto"/>
            <w:bottom w:val="none" w:sz="0" w:space="0" w:color="auto"/>
            <w:right w:val="none" w:sz="0" w:space="0" w:color="auto"/>
          </w:divBdr>
        </w:div>
        <w:div w:id="2032947275">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package" Target="embeddings/Microsoft_Visio___.vsdx"/><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2C928DDF764E06961C508441955D53"/>
        <w:category>
          <w:name w:val="常规"/>
          <w:gallery w:val="placeholder"/>
        </w:category>
        <w:types>
          <w:type w:val="bbPlcHdr"/>
        </w:types>
        <w:behaviors>
          <w:behavior w:val="content"/>
        </w:behaviors>
        <w:guid w:val="{38E0C06C-2388-426A-9464-2ADA6020BE5D}"/>
      </w:docPartPr>
      <w:docPartBody>
        <w:p w:rsidR="00C123D3" w:rsidRDefault="00A30AE3">
          <w:pPr>
            <w:pStyle w:val="0B2C928DDF764E06961C508441955D53"/>
          </w:pPr>
          <w:r w:rsidRPr="00751A05">
            <w:rPr>
              <w:rStyle w:val="a3"/>
              <w:rFonts w:hint="eastAsia"/>
            </w:rPr>
            <w:t>单击或点击此处输入文字。</w:t>
          </w:r>
        </w:p>
      </w:docPartBody>
    </w:docPart>
    <w:docPart>
      <w:docPartPr>
        <w:name w:val="8A49910B4D754B1190C0380062FDE57D"/>
        <w:category>
          <w:name w:val="常规"/>
          <w:gallery w:val="placeholder"/>
        </w:category>
        <w:types>
          <w:type w:val="bbPlcHdr"/>
        </w:types>
        <w:behaviors>
          <w:behavior w:val="content"/>
        </w:behaviors>
        <w:guid w:val="{50824117-9690-41B7-85B4-CE7102C42916}"/>
      </w:docPartPr>
      <w:docPartBody>
        <w:p w:rsidR="00C123D3" w:rsidRDefault="00A30AE3">
          <w:pPr>
            <w:pStyle w:val="8A49910B4D754B1190C0380062FDE57D"/>
          </w:pPr>
          <w:r w:rsidRPr="00FB6243">
            <w:rPr>
              <w:rStyle w:val="a3"/>
              <w:rFonts w:hint="eastAsia"/>
            </w:rPr>
            <w:t>选择一项。</w:t>
          </w:r>
        </w:p>
      </w:docPartBody>
    </w:docPart>
    <w:docPart>
      <w:docPartPr>
        <w:name w:val="550D143B3FD5436095CA01AEDF15DD76"/>
        <w:category>
          <w:name w:val="常规"/>
          <w:gallery w:val="placeholder"/>
        </w:category>
        <w:types>
          <w:type w:val="bbPlcHdr"/>
        </w:types>
        <w:behaviors>
          <w:behavior w:val="content"/>
        </w:behaviors>
        <w:guid w:val="{68E2C6ED-B35E-4FD7-BE6C-E3696A46BF38}"/>
      </w:docPartPr>
      <w:docPartBody>
        <w:p w:rsidR="00C123D3" w:rsidRDefault="00A30AE3">
          <w:pPr>
            <w:pStyle w:val="550D143B3FD5436095CA01AEDF15DD7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E3"/>
    <w:rsid w:val="00084424"/>
    <w:rsid w:val="001C6A7C"/>
    <w:rsid w:val="003110F2"/>
    <w:rsid w:val="00536C0E"/>
    <w:rsid w:val="006245A2"/>
    <w:rsid w:val="008566B7"/>
    <w:rsid w:val="00A30AE3"/>
    <w:rsid w:val="00B972DA"/>
    <w:rsid w:val="00C123D3"/>
    <w:rsid w:val="00F52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66B7"/>
    <w:rPr>
      <w:color w:val="808080"/>
    </w:rPr>
  </w:style>
  <w:style w:type="paragraph" w:customStyle="1" w:styleId="0B2C928DDF764E06961C508441955D53">
    <w:name w:val="0B2C928DDF764E06961C508441955D53"/>
    <w:pPr>
      <w:widowControl w:val="0"/>
      <w:jc w:val="both"/>
    </w:pPr>
  </w:style>
  <w:style w:type="paragraph" w:customStyle="1" w:styleId="8A49910B4D754B1190C0380062FDE57D">
    <w:name w:val="8A49910B4D754B1190C0380062FDE57D"/>
    <w:pPr>
      <w:widowControl w:val="0"/>
      <w:jc w:val="both"/>
    </w:pPr>
  </w:style>
  <w:style w:type="paragraph" w:customStyle="1" w:styleId="550D143B3FD5436095CA01AEDF15DD76">
    <w:name w:val="550D143B3FD5436095CA01AEDF15DD7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AD53D-806A-4814-AAEB-26D700BC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908</TotalTime>
  <Pages>9</Pages>
  <Words>2645</Words>
  <Characters>3307</Characters>
  <Application>Microsoft Office Word</Application>
  <DocSecurity>0</DocSecurity>
  <Lines>551</Lines>
  <Paragraphs>495</Paragraphs>
  <ScaleCrop>false</ScaleCrop>
  <Company>PCMI</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dc:creator>
  <cp:keywords/>
  <dc:description>&lt;config cover="true" show_menu="true" version="1.0.0" doctype="SDKXY"&gt;_x000d_
&lt;/config&gt;</dc:description>
  <cp:lastModifiedBy>Admin</cp:lastModifiedBy>
  <cp:revision>16</cp:revision>
  <cp:lastPrinted>2025-06-27T02:49:00Z</cp:lastPrinted>
  <dcterms:created xsi:type="dcterms:W3CDTF">2025-06-17T06:23:00Z</dcterms:created>
  <dcterms:modified xsi:type="dcterms:W3CDTF">2025-06-27T03:40:00Z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