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E74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E74F2">
              <w:rPr>
                <w:rFonts w:ascii="黑体" w:eastAsia="黑体" w:hAnsi="黑体" w:hint="eastAsia"/>
                <w:sz w:val="21"/>
                <w:szCs w:val="21"/>
              </w:rPr>
              <w:t>29.020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D92834">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2E74F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E74F2">
              <w:rPr>
                <w:rFonts w:ascii="黑体" w:eastAsia="黑体" w:hAnsi="黑体" w:hint="eastAsia"/>
                <w:sz w:val="21"/>
                <w:szCs w:val="21"/>
              </w:rPr>
              <w:t>F 20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D92834">
        <w:rPr>
          <w:rFonts w:hint="eastAsia"/>
        </w:rPr>
        <w:t>229</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46392">
        <w:t>贵州分布式电力交易实施指南</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7647E" w:rsidRPr="0097647E">
        <w:rPr>
          <w:rFonts w:eastAsia="黑体"/>
          <w:noProof/>
          <w:szCs w:val="28"/>
        </w:rPr>
        <w:t xml:space="preserve">Implementation </w:t>
      </w:r>
      <w:r w:rsidR="0097647E">
        <w:rPr>
          <w:rFonts w:eastAsia="黑体" w:hint="eastAsia"/>
          <w:noProof/>
          <w:szCs w:val="28"/>
        </w:rPr>
        <w:t>g</w:t>
      </w:r>
      <w:r w:rsidR="0097647E" w:rsidRPr="0097647E">
        <w:rPr>
          <w:rFonts w:eastAsia="黑体"/>
          <w:noProof/>
          <w:szCs w:val="28"/>
        </w:rPr>
        <w:t xml:space="preserve">uidelines for </w:t>
      </w:r>
      <w:r w:rsidR="0097647E">
        <w:rPr>
          <w:rFonts w:eastAsia="黑体" w:hint="eastAsia"/>
          <w:noProof/>
          <w:szCs w:val="28"/>
        </w:rPr>
        <w:t>d</w:t>
      </w:r>
      <w:r w:rsidR="0097647E" w:rsidRPr="0097647E">
        <w:rPr>
          <w:rFonts w:eastAsia="黑体"/>
          <w:noProof/>
          <w:szCs w:val="28"/>
        </w:rPr>
        <w:t xml:space="preserve">istributed </w:t>
      </w:r>
      <w:r w:rsidR="0097647E">
        <w:rPr>
          <w:rFonts w:eastAsia="黑体" w:hint="eastAsia"/>
          <w:noProof/>
          <w:szCs w:val="28"/>
        </w:rPr>
        <w:t>p</w:t>
      </w:r>
      <w:r w:rsidR="0097647E" w:rsidRPr="0097647E">
        <w:rPr>
          <w:rFonts w:eastAsia="黑体"/>
          <w:noProof/>
          <w:szCs w:val="28"/>
        </w:rPr>
        <w:t xml:space="preserve">ower </w:t>
      </w:r>
      <w:r w:rsidR="0097647E">
        <w:rPr>
          <w:rFonts w:eastAsia="黑体" w:hint="eastAsia"/>
          <w:noProof/>
          <w:szCs w:val="28"/>
        </w:rPr>
        <w:t>t</w:t>
      </w:r>
      <w:r w:rsidR="0097647E" w:rsidRPr="0097647E">
        <w:rPr>
          <w:rFonts w:eastAsia="黑体"/>
          <w:noProof/>
          <w:szCs w:val="28"/>
        </w:rPr>
        <w:t xml:space="preserve">rading in </w:t>
      </w:r>
      <w:r w:rsidR="0097647E">
        <w:rPr>
          <w:rFonts w:eastAsia="黑体" w:hint="eastAsia"/>
          <w:noProof/>
          <w:szCs w:val="28"/>
        </w:rPr>
        <w:t>g</w:t>
      </w:r>
      <w:r w:rsidR="0097647E" w:rsidRPr="0097647E">
        <w:rPr>
          <w:rFonts w:eastAsia="黑体"/>
          <w:noProof/>
          <w:szCs w:val="28"/>
        </w:rPr>
        <w:t>uizhou</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D92834">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E5B91" w:rsidRDefault="009E5B91" w:rsidP="009E5B91">
      <w:pPr>
        <w:pStyle w:val="afffffc"/>
        <w:spacing w:after="360"/>
      </w:pPr>
      <w:bookmarkStart w:id="22" w:name="BookMark1"/>
      <w:bookmarkStart w:id="23" w:name="_Toc185860851"/>
      <w:bookmarkStart w:id="24" w:name="_Toc188533070"/>
      <w:bookmarkStart w:id="25" w:name="_Toc188533832"/>
      <w:bookmarkStart w:id="26" w:name="_Toc188618513"/>
      <w:bookmarkStart w:id="27" w:name="_Toc190359138"/>
      <w:bookmarkStart w:id="28" w:name="_Toc191051699"/>
      <w:bookmarkStart w:id="29" w:name="_Toc194407737"/>
      <w:bookmarkStart w:id="30" w:name="_Toc194939251"/>
      <w:bookmarkStart w:id="31" w:name="_Toc196215180"/>
      <w:bookmarkStart w:id="32" w:name="_Toc200463743"/>
      <w:bookmarkStart w:id="33" w:name="_Toc201743753"/>
      <w:r w:rsidRPr="009E5B91">
        <w:rPr>
          <w:rFonts w:hint="eastAsia"/>
          <w:spacing w:val="320"/>
        </w:rPr>
        <w:lastRenderedPageBreak/>
        <w:t>目</w:t>
      </w:r>
      <w:r>
        <w:rPr>
          <w:rFonts w:hint="eastAsia"/>
        </w:rPr>
        <w:t>次</w:t>
      </w:r>
    </w:p>
    <w:p w:rsidR="009E5B91" w:rsidRPr="009E5B91" w:rsidRDefault="009E5B91">
      <w:pPr>
        <w:pStyle w:val="10"/>
        <w:tabs>
          <w:tab w:val="right" w:leader="dot" w:pos="9344"/>
        </w:tabs>
        <w:rPr>
          <w:rFonts w:asciiTheme="minorHAnsi" w:eastAsiaTheme="minorEastAsia" w:hAnsiTheme="minorHAnsi" w:cstheme="minorBidi"/>
          <w:noProof/>
          <w:szCs w:val="22"/>
        </w:rPr>
      </w:pPr>
      <w:r w:rsidRPr="009E5B91">
        <w:fldChar w:fldCharType="begin"/>
      </w:r>
      <w:r w:rsidRPr="009E5B91">
        <w:instrText xml:space="preserve"> TOC \o "1-1" \h </w:instrText>
      </w:r>
      <w:r w:rsidRPr="009E5B91">
        <w:fldChar w:fldCharType="separate"/>
      </w:r>
      <w:hyperlink w:anchor="_Toc204852681" w:history="1">
        <w:r w:rsidRPr="009E5B91">
          <w:rPr>
            <w:rStyle w:val="affffff7"/>
            <w:rFonts w:hint="eastAsia"/>
            <w:noProof/>
          </w:rPr>
          <w:t>前言</w:t>
        </w:r>
        <w:r w:rsidRPr="009E5B91">
          <w:rPr>
            <w:noProof/>
          </w:rPr>
          <w:tab/>
        </w:r>
        <w:r w:rsidRPr="009E5B91">
          <w:rPr>
            <w:noProof/>
          </w:rPr>
          <w:fldChar w:fldCharType="begin"/>
        </w:r>
        <w:r w:rsidRPr="009E5B91">
          <w:rPr>
            <w:noProof/>
          </w:rPr>
          <w:instrText xml:space="preserve"> PAGEREF _Toc204852681 \h </w:instrText>
        </w:r>
        <w:r w:rsidRPr="009E5B91">
          <w:rPr>
            <w:noProof/>
          </w:rPr>
        </w:r>
        <w:r w:rsidRPr="009E5B91">
          <w:rPr>
            <w:noProof/>
          </w:rPr>
          <w:fldChar w:fldCharType="separate"/>
        </w:r>
        <w:r w:rsidR="002A6CAC">
          <w:rPr>
            <w:noProof/>
          </w:rPr>
          <w:t>II</w:t>
        </w:r>
        <w:r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2" w:history="1">
        <w:r w:rsidR="009E5B91" w:rsidRPr="009E5B91">
          <w:rPr>
            <w:rStyle w:val="affffff7"/>
            <w:noProof/>
          </w:rPr>
          <w:t>1</w:t>
        </w:r>
        <w:r w:rsidR="009E5B91">
          <w:rPr>
            <w:rStyle w:val="affffff7"/>
            <w:noProof/>
          </w:rPr>
          <w:t xml:space="preserve"> </w:t>
        </w:r>
        <w:r w:rsidR="009E5B91" w:rsidRPr="009E5B91">
          <w:rPr>
            <w:rStyle w:val="affffff7"/>
            <w:rFonts w:hint="eastAsia"/>
            <w:noProof/>
          </w:rPr>
          <w:t xml:space="preserve"> 范围</w:t>
        </w:r>
        <w:r w:rsidR="009E5B91" w:rsidRPr="009E5B91">
          <w:rPr>
            <w:noProof/>
          </w:rPr>
          <w:tab/>
        </w:r>
        <w:r w:rsidR="009E5B91" w:rsidRPr="009E5B91">
          <w:rPr>
            <w:noProof/>
          </w:rPr>
          <w:fldChar w:fldCharType="begin"/>
        </w:r>
        <w:r w:rsidR="009E5B91" w:rsidRPr="009E5B91">
          <w:rPr>
            <w:noProof/>
          </w:rPr>
          <w:instrText xml:space="preserve"> PAGEREF _Toc204852682 \h </w:instrText>
        </w:r>
        <w:r w:rsidR="009E5B91" w:rsidRPr="009E5B91">
          <w:rPr>
            <w:noProof/>
          </w:rPr>
        </w:r>
        <w:r w:rsidR="009E5B91" w:rsidRPr="009E5B91">
          <w:rPr>
            <w:noProof/>
          </w:rPr>
          <w:fldChar w:fldCharType="separate"/>
        </w:r>
        <w:r w:rsidR="002A6CAC">
          <w:rPr>
            <w:noProof/>
          </w:rPr>
          <w:t>1</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3" w:history="1">
        <w:r w:rsidR="009E5B91" w:rsidRPr="009E5B91">
          <w:rPr>
            <w:rStyle w:val="affffff7"/>
            <w:noProof/>
          </w:rPr>
          <w:t>2</w:t>
        </w:r>
        <w:r w:rsidR="009E5B91">
          <w:rPr>
            <w:rStyle w:val="affffff7"/>
            <w:noProof/>
          </w:rPr>
          <w:t xml:space="preserve"> </w:t>
        </w:r>
        <w:r w:rsidR="009E5B91" w:rsidRPr="009E5B91">
          <w:rPr>
            <w:rStyle w:val="affffff7"/>
            <w:rFonts w:hint="eastAsia"/>
            <w:noProof/>
          </w:rPr>
          <w:t xml:space="preserve"> 规范性引用文件</w:t>
        </w:r>
        <w:r w:rsidR="009E5B91" w:rsidRPr="009E5B91">
          <w:rPr>
            <w:noProof/>
          </w:rPr>
          <w:tab/>
        </w:r>
        <w:r w:rsidR="009E5B91" w:rsidRPr="009E5B91">
          <w:rPr>
            <w:noProof/>
          </w:rPr>
          <w:fldChar w:fldCharType="begin"/>
        </w:r>
        <w:r w:rsidR="009E5B91" w:rsidRPr="009E5B91">
          <w:rPr>
            <w:noProof/>
          </w:rPr>
          <w:instrText xml:space="preserve"> PAGEREF _Toc204852683 \h </w:instrText>
        </w:r>
        <w:r w:rsidR="009E5B91" w:rsidRPr="009E5B91">
          <w:rPr>
            <w:noProof/>
          </w:rPr>
        </w:r>
        <w:r w:rsidR="009E5B91" w:rsidRPr="009E5B91">
          <w:rPr>
            <w:noProof/>
          </w:rPr>
          <w:fldChar w:fldCharType="separate"/>
        </w:r>
        <w:r w:rsidR="002A6CAC">
          <w:rPr>
            <w:noProof/>
          </w:rPr>
          <w:t>1</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4" w:history="1">
        <w:r w:rsidR="009E5B91" w:rsidRPr="009E5B91">
          <w:rPr>
            <w:rStyle w:val="affffff7"/>
            <w:noProof/>
          </w:rPr>
          <w:t>3</w:t>
        </w:r>
        <w:r w:rsidR="009E5B91">
          <w:rPr>
            <w:rStyle w:val="affffff7"/>
            <w:noProof/>
          </w:rPr>
          <w:t xml:space="preserve"> </w:t>
        </w:r>
        <w:r w:rsidR="009E5B91" w:rsidRPr="009E5B91">
          <w:rPr>
            <w:rStyle w:val="affffff7"/>
            <w:rFonts w:hint="eastAsia"/>
            <w:noProof/>
          </w:rPr>
          <w:t xml:space="preserve"> 术语和定义</w:t>
        </w:r>
        <w:r w:rsidR="009E5B91" w:rsidRPr="009E5B91">
          <w:rPr>
            <w:noProof/>
          </w:rPr>
          <w:tab/>
        </w:r>
        <w:r w:rsidR="009E5B91" w:rsidRPr="009E5B91">
          <w:rPr>
            <w:noProof/>
          </w:rPr>
          <w:fldChar w:fldCharType="begin"/>
        </w:r>
        <w:r w:rsidR="009E5B91" w:rsidRPr="009E5B91">
          <w:rPr>
            <w:noProof/>
          </w:rPr>
          <w:instrText xml:space="preserve"> PAGEREF _Toc204852684 \h </w:instrText>
        </w:r>
        <w:r w:rsidR="009E5B91" w:rsidRPr="009E5B91">
          <w:rPr>
            <w:noProof/>
          </w:rPr>
        </w:r>
        <w:r w:rsidR="009E5B91" w:rsidRPr="009E5B91">
          <w:rPr>
            <w:noProof/>
          </w:rPr>
          <w:fldChar w:fldCharType="separate"/>
        </w:r>
        <w:r w:rsidR="002A6CAC">
          <w:rPr>
            <w:noProof/>
          </w:rPr>
          <w:t>1</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5" w:history="1">
        <w:r w:rsidR="009E5B91" w:rsidRPr="009E5B91">
          <w:rPr>
            <w:rStyle w:val="affffff7"/>
            <w:noProof/>
          </w:rPr>
          <w:t>4</w:t>
        </w:r>
        <w:r w:rsidR="009E5B91">
          <w:rPr>
            <w:rStyle w:val="affffff7"/>
            <w:noProof/>
          </w:rPr>
          <w:t xml:space="preserve"> </w:t>
        </w:r>
        <w:r w:rsidR="009E5B91" w:rsidRPr="009E5B91">
          <w:rPr>
            <w:rStyle w:val="affffff7"/>
            <w:rFonts w:hint="eastAsia"/>
            <w:noProof/>
          </w:rPr>
          <w:t xml:space="preserve"> 总体原则</w:t>
        </w:r>
        <w:r w:rsidR="009E5B91" w:rsidRPr="009E5B91">
          <w:rPr>
            <w:noProof/>
          </w:rPr>
          <w:tab/>
        </w:r>
        <w:r w:rsidR="009E5B91" w:rsidRPr="009E5B91">
          <w:rPr>
            <w:noProof/>
          </w:rPr>
          <w:fldChar w:fldCharType="begin"/>
        </w:r>
        <w:r w:rsidR="009E5B91" w:rsidRPr="009E5B91">
          <w:rPr>
            <w:noProof/>
          </w:rPr>
          <w:instrText xml:space="preserve"> PAGEREF _Toc204852685 \h </w:instrText>
        </w:r>
        <w:r w:rsidR="009E5B91" w:rsidRPr="009E5B91">
          <w:rPr>
            <w:noProof/>
          </w:rPr>
        </w:r>
        <w:r w:rsidR="009E5B91" w:rsidRPr="009E5B91">
          <w:rPr>
            <w:noProof/>
          </w:rPr>
          <w:fldChar w:fldCharType="separate"/>
        </w:r>
        <w:r w:rsidR="002A6CAC">
          <w:rPr>
            <w:noProof/>
          </w:rPr>
          <w:t>1</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6" w:history="1">
        <w:r w:rsidR="009E5B91" w:rsidRPr="009E5B91">
          <w:rPr>
            <w:rStyle w:val="affffff7"/>
            <w:noProof/>
          </w:rPr>
          <w:t>5</w:t>
        </w:r>
        <w:r w:rsidR="009E5B91">
          <w:rPr>
            <w:rStyle w:val="affffff7"/>
            <w:noProof/>
          </w:rPr>
          <w:t xml:space="preserve"> </w:t>
        </w:r>
        <w:r w:rsidR="009E5B91" w:rsidRPr="009E5B91">
          <w:rPr>
            <w:rStyle w:val="affffff7"/>
            <w:rFonts w:hint="eastAsia"/>
            <w:noProof/>
          </w:rPr>
          <w:t xml:space="preserve"> 市场主体管理</w:t>
        </w:r>
        <w:r w:rsidR="009E5B91" w:rsidRPr="009E5B91">
          <w:rPr>
            <w:noProof/>
          </w:rPr>
          <w:tab/>
        </w:r>
        <w:r w:rsidR="009E5B91" w:rsidRPr="009E5B91">
          <w:rPr>
            <w:noProof/>
          </w:rPr>
          <w:fldChar w:fldCharType="begin"/>
        </w:r>
        <w:r w:rsidR="009E5B91" w:rsidRPr="009E5B91">
          <w:rPr>
            <w:noProof/>
          </w:rPr>
          <w:instrText xml:space="preserve"> PAGEREF _Toc204852686 \h </w:instrText>
        </w:r>
        <w:r w:rsidR="009E5B91" w:rsidRPr="009E5B91">
          <w:rPr>
            <w:noProof/>
          </w:rPr>
        </w:r>
        <w:r w:rsidR="009E5B91" w:rsidRPr="009E5B91">
          <w:rPr>
            <w:noProof/>
          </w:rPr>
          <w:fldChar w:fldCharType="separate"/>
        </w:r>
        <w:r w:rsidR="002A6CAC">
          <w:rPr>
            <w:noProof/>
          </w:rPr>
          <w:t>1</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7" w:history="1">
        <w:r w:rsidR="009E5B91" w:rsidRPr="009E5B91">
          <w:rPr>
            <w:rStyle w:val="affffff7"/>
            <w:noProof/>
          </w:rPr>
          <w:t>6</w:t>
        </w:r>
        <w:r w:rsidR="009E5B91">
          <w:rPr>
            <w:rStyle w:val="affffff7"/>
            <w:noProof/>
          </w:rPr>
          <w:t xml:space="preserve"> </w:t>
        </w:r>
        <w:r w:rsidR="009E5B91" w:rsidRPr="009E5B91">
          <w:rPr>
            <w:rStyle w:val="affffff7"/>
            <w:rFonts w:hint="eastAsia"/>
            <w:noProof/>
          </w:rPr>
          <w:t xml:space="preserve"> 分阶段交易实施路径</w:t>
        </w:r>
        <w:r w:rsidR="009E5B91" w:rsidRPr="009E5B91">
          <w:rPr>
            <w:noProof/>
          </w:rPr>
          <w:tab/>
        </w:r>
        <w:r w:rsidR="009E5B91" w:rsidRPr="009E5B91">
          <w:rPr>
            <w:noProof/>
          </w:rPr>
          <w:fldChar w:fldCharType="begin"/>
        </w:r>
        <w:r w:rsidR="009E5B91" w:rsidRPr="009E5B91">
          <w:rPr>
            <w:noProof/>
          </w:rPr>
          <w:instrText xml:space="preserve"> PAGEREF _Toc204852687 \h </w:instrText>
        </w:r>
        <w:r w:rsidR="009E5B91" w:rsidRPr="009E5B91">
          <w:rPr>
            <w:noProof/>
          </w:rPr>
        </w:r>
        <w:r w:rsidR="009E5B91" w:rsidRPr="009E5B91">
          <w:rPr>
            <w:noProof/>
          </w:rPr>
          <w:fldChar w:fldCharType="separate"/>
        </w:r>
        <w:r w:rsidR="002A6CAC">
          <w:rPr>
            <w:noProof/>
          </w:rPr>
          <w:t>2</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8" w:history="1">
        <w:r w:rsidR="009E5B91" w:rsidRPr="009E5B91">
          <w:rPr>
            <w:rStyle w:val="affffff7"/>
            <w:noProof/>
          </w:rPr>
          <w:t>7</w:t>
        </w:r>
        <w:r w:rsidR="009E5B91">
          <w:rPr>
            <w:rStyle w:val="affffff7"/>
            <w:noProof/>
          </w:rPr>
          <w:t xml:space="preserve"> </w:t>
        </w:r>
        <w:r w:rsidR="009E5B91" w:rsidRPr="009E5B91">
          <w:rPr>
            <w:rStyle w:val="affffff7"/>
            <w:rFonts w:hint="eastAsia"/>
            <w:noProof/>
          </w:rPr>
          <w:t xml:space="preserve"> 构建分布式交易品种体系</w:t>
        </w:r>
        <w:r w:rsidR="009E5B91" w:rsidRPr="009E5B91">
          <w:rPr>
            <w:noProof/>
          </w:rPr>
          <w:tab/>
        </w:r>
        <w:r w:rsidR="009E5B91" w:rsidRPr="009E5B91">
          <w:rPr>
            <w:noProof/>
          </w:rPr>
          <w:fldChar w:fldCharType="begin"/>
        </w:r>
        <w:r w:rsidR="009E5B91" w:rsidRPr="009E5B91">
          <w:rPr>
            <w:noProof/>
          </w:rPr>
          <w:instrText xml:space="preserve"> PAGEREF _Toc204852688 \h </w:instrText>
        </w:r>
        <w:r w:rsidR="009E5B91" w:rsidRPr="009E5B91">
          <w:rPr>
            <w:noProof/>
          </w:rPr>
        </w:r>
        <w:r w:rsidR="009E5B91" w:rsidRPr="009E5B91">
          <w:rPr>
            <w:noProof/>
          </w:rPr>
          <w:fldChar w:fldCharType="separate"/>
        </w:r>
        <w:r w:rsidR="002A6CAC">
          <w:rPr>
            <w:noProof/>
          </w:rPr>
          <w:t>2</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89" w:history="1">
        <w:r w:rsidR="009E5B91" w:rsidRPr="009E5B91">
          <w:rPr>
            <w:rStyle w:val="affffff7"/>
            <w:noProof/>
          </w:rPr>
          <w:t>8</w:t>
        </w:r>
        <w:r w:rsidR="009E5B91">
          <w:rPr>
            <w:rStyle w:val="affffff7"/>
            <w:noProof/>
          </w:rPr>
          <w:t xml:space="preserve"> </w:t>
        </w:r>
        <w:r w:rsidR="009E5B91" w:rsidRPr="009E5B91">
          <w:rPr>
            <w:rStyle w:val="affffff7"/>
            <w:rFonts w:hint="eastAsia"/>
            <w:noProof/>
          </w:rPr>
          <w:t xml:space="preserve"> 收益保障</w:t>
        </w:r>
        <w:r w:rsidR="009E5B91" w:rsidRPr="009E5B91">
          <w:rPr>
            <w:noProof/>
          </w:rPr>
          <w:tab/>
        </w:r>
        <w:r w:rsidR="009E5B91" w:rsidRPr="009E5B91">
          <w:rPr>
            <w:noProof/>
          </w:rPr>
          <w:fldChar w:fldCharType="begin"/>
        </w:r>
        <w:r w:rsidR="009E5B91" w:rsidRPr="009E5B91">
          <w:rPr>
            <w:noProof/>
          </w:rPr>
          <w:instrText xml:space="preserve"> PAGEREF _Toc204852689 \h </w:instrText>
        </w:r>
        <w:r w:rsidR="009E5B91" w:rsidRPr="009E5B91">
          <w:rPr>
            <w:noProof/>
          </w:rPr>
        </w:r>
        <w:r w:rsidR="009E5B91" w:rsidRPr="009E5B91">
          <w:rPr>
            <w:noProof/>
          </w:rPr>
          <w:fldChar w:fldCharType="separate"/>
        </w:r>
        <w:r w:rsidR="002A6CAC">
          <w:rPr>
            <w:noProof/>
          </w:rPr>
          <w:t>3</w:t>
        </w:r>
        <w:r w:rsidR="009E5B91" w:rsidRPr="009E5B91">
          <w:rPr>
            <w:noProof/>
          </w:rPr>
          <w:fldChar w:fldCharType="end"/>
        </w:r>
      </w:hyperlink>
    </w:p>
    <w:p w:rsidR="009E5B91" w:rsidRPr="009E5B91" w:rsidRDefault="0091265E">
      <w:pPr>
        <w:pStyle w:val="10"/>
        <w:tabs>
          <w:tab w:val="right" w:leader="dot" w:pos="9344"/>
        </w:tabs>
        <w:rPr>
          <w:rFonts w:asciiTheme="minorHAnsi" w:eastAsiaTheme="minorEastAsia" w:hAnsiTheme="minorHAnsi" w:cstheme="minorBidi"/>
          <w:noProof/>
          <w:szCs w:val="22"/>
        </w:rPr>
      </w:pPr>
      <w:hyperlink w:anchor="_Toc204852690" w:history="1">
        <w:r w:rsidR="009E5B91" w:rsidRPr="009E5B91">
          <w:rPr>
            <w:rStyle w:val="affffff7"/>
            <w:noProof/>
          </w:rPr>
          <w:t>9</w:t>
        </w:r>
        <w:r w:rsidR="009E5B91">
          <w:rPr>
            <w:rStyle w:val="affffff7"/>
            <w:noProof/>
          </w:rPr>
          <w:t xml:space="preserve"> </w:t>
        </w:r>
        <w:r w:rsidR="009E5B91" w:rsidRPr="009E5B91">
          <w:rPr>
            <w:rStyle w:val="affffff7"/>
            <w:rFonts w:hint="eastAsia"/>
            <w:noProof/>
          </w:rPr>
          <w:t xml:space="preserve"> 结算与监管</w:t>
        </w:r>
        <w:r w:rsidR="009E5B91" w:rsidRPr="009E5B91">
          <w:rPr>
            <w:noProof/>
          </w:rPr>
          <w:tab/>
        </w:r>
        <w:r w:rsidR="009E5B91" w:rsidRPr="009E5B91">
          <w:rPr>
            <w:noProof/>
          </w:rPr>
          <w:fldChar w:fldCharType="begin"/>
        </w:r>
        <w:r w:rsidR="009E5B91" w:rsidRPr="009E5B91">
          <w:rPr>
            <w:noProof/>
          </w:rPr>
          <w:instrText xml:space="preserve"> PAGEREF _Toc204852690 \h </w:instrText>
        </w:r>
        <w:r w:rsidR="009E5B91" w:rsidRPr="009E5B91">
          <w:rPr>
            <w:noProof/>
          </w:rPr>
        </w:r>
        <w:r w:rsidR="009E5B91" w:rsidRPr="009E5B91">
          <w:rPr>
            <w:noProof/>
          </w:rPr>
          <w:fldChar w:fldCharType="separate"/>
        </w:r>
        <w:r w:rsidR="002A6CAC">
          <w:rPr>
            <w:noProof/>
          </w:rPr>
          <w:t>3</w:t>
        </w:r>
        <w:r w:rsidR="009E5B91" w:rsidRPr="009E5B91">
          <w:rPr>
            <w:noProof/>
          </w:rPr>
          <w:fldChar w:fldCharType="end"/>
        </w:r>
      </w:hyperlink>
    </w:p>
    <w:p w:rsidR="009E5B91" w:rsidRPr="009E5B91" w:rsidRDefault="009E5B91" w:rsidP="009E5B91">
      <w:pPr>
        <w:pStyle w:val="afffffc"/>
        <w:spacing w:after="360"/>
        <w:sectPr w:rsidR="009E5B91" w:rsidRPr="009E5B91" w:rsidSect="009E5B91">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E5B91">
        <w:fldChar w:fldCharType="end"/>
      </w:r>
    </w:p>
    <w:p w:rsidR="00D05E4E" w:rsidRDefault="00D05E4E" w:rsidP="00D05E4E">
      <w:pPr>
        <w:pStyle w:val="a6"/>
        <w:spacing w:before="900" w:after="360"/>
      </w:pPr>
      <w:bookmarkStart w:id="34" w:name="_Toc204852681"/>
      <w:bookmarkStart w:id="35" w:name="BookMark2"/>
      <w:bookmarkEnd w:id="22"/>
      <w:r w:rsidRPr="00D05E4E">
        <w:rPr>
          <w:spacing w:val="320"/>
        </w:rPr>
        <w:lastRenderedPageBreak/>
        <w:t>前</w:t>
      </w:r>
      <w:r>
        <w:t>言</w:t>
      </w:r>
      <w:bookmarkEnd w:id="23"/>
      <w:bookmarkEnd w:id="24"/>
      <w:bookmarkEnd w:id="25"/>
      <w:bookmarkEnd w:id="26"/>
      <w:bookmarkEnd w:id="27"/>
      <w:bookmarkEnd w:id="28"/>
      <w:bookmarkEnd w:id="29"/>
      <w:bookmarkEnd w:id="30"/>
      <w:bookmarkEnd w:id="31"/>
      <w:bookmarkEnd w:id="32"/>
      <w:bookmarkEnd w:id="33"/>
      <w:bookmarkEnd w:id="34"/>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97647E" w:rsidRPr="0097647E">
        <w:rPr>
          <w:rFonts w:hint="eastAsia"/>
        </w:rPr>
        <w:t>贵州电力交易中心有限责任公司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97647E" w:rsidRPr="0097647E">
        <w:rPr>
          <w:rFonts w:hint="eastAsia"/>
        </w:rPr>
        <w:t>贵州电力交易中心有限责任公司</w:t>
      </w:r>
      <w:r>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97647E">
        <w:rPr>
          <w:rFonts w:hint="eastAsia"/>
        </w:rPr>
        <w:t>何登、陈仕军、韦雪晴</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6" w:name="BookMark4"/>
      <w:bookmarkEnd w:id="35"/>
    </w:p>
    <w:p w:rsidR="00894836" w:rsidRDefault="00894836" w:rsidP="00093D25">
      <w:pPr>
        <w:spacing w:line="20" w:lineRule="exact"/>
        <w:jc w:val="center"/>
        <w:rPr>
          <w:rFonts w:ascii="黑体" w:eastAsia="黑体" w:hAnsi="黑体"/>
          <w:sz w:val="32"/>
          <w:szCs w:val="32"/>
        </w:rPr>
      </w:pPr>
    </w:p>
    <w:bookmarkStart w:id="37" w:name="OLE_LINK2" w:displacedByCustomXml="next"/>
    <w:bookmarkStart w:id="38" w:name="OLE_LINK1" w:displacedByCustomXml="next"/>
    <w:sdt>
      <w:sdtPr>
        <w:tag w:val="NEW_STAND_NAME"/>
        <w:id w:val="595910757"/>
        <w:lock w:val="sdtLocked"/>
        <w:placeholder>
          <w:docPart w:val="3DBDAD553443420EB62B03F0A4A77B27"/>
        </w:placeholder>
      </w:sdtPr>
      <w:sdtEndPr/>
      <w:sdtContent>
        <w:bookmarkStart w:id="39" w:name="NEW_STAND_NAME" w:displacedByCustomXml="prev"/>
        <w:p w:rsidR="00F26B7E" w:rsidRPr="00F26B7E" w:rsidRDefault="0097647E" w:rsidP="009E5B91">
          <w:pPr>
            <w:pStyle w:val="afffffffff1"/>
            <w:spacing w:beforeLines="1" w:before="2" w:afterLines="220" w:after="528" w:line="24" w:lineRule="atLeast"/>
          </w:pPr>
          <w:r>
            <w:rPr>
              <w:rFonts w:hint="eastAsia"/>
            </w:rPr>
            <w:t>贵州分布式电力交易实施指南</w:t>
          </w:r>
        </w:p>
      </w:sdtContent>
    </w:sdt>
    <w:bookmarkEnd w:id="39" w:displacedByCustomXml="prev"/>
    <w:bookmarkEnd w:id="37" w:displacedByCustomXml="prev"/>
    <w:bookmarkEnd w:id="38" w:displacedByCustomXml="prev"/>
    <w:p w:rsidR="00E2552F" w:rsidRDefault="00E2552F" w:rsidP="009E5B91">
      <w:pPr>
        <w:pStyle w:val="affc"/>
        <w:spacing w:before="240" w:after="240" w:line="24" w:lineRule="atLeast"/>
      </w:pPr>
      <w:bookmarkStart w:id="40" w:name="_Toc17233325"/>
      <w:bookmarkStart w:id="41" w:name="_Toc17233333"/>
      <w:bookmarkStart w:id="42" w:name="_Toc24884211"/>
      <w:bookmarkStart w:id="43" w:name="_Toc24884218"/>
      <w:bookmarkStart w:id="44" w:name="_Toc26648465"/>
      <w:bookmarkStart w:id="45" w:name="_Toc26718930"/>
      <w:bookmarkStart w:id="46" w:name="_Toc26986530"/>
      <w:bookmarkStart w:id="47" w:name="_Toc26986771"/>
      <w:bookmarkStart w:id="48" w:name="_Toc97192964"/>
      <w:bookmarkStart w:id="49" w:name="_Toc185860852"/>
      <w:bookmarkStart w:id="50" w:name="_Toc188533071"/>
      <w:bookmarkStart w:id="51" w:name="_Toc188533833"/>
      <w:bookmarkStart w:id="52" w:name="_Toc188618514"/>
      <w:bookmarkStart w:id="53" w:name="_Toc190359139"/>
      <w:bookmarkStart w:id="54" w:name="_Toc191051700"/>
      <w:bookmarkStart w:id="55" w:name="_Toc194407738"/>
      <w:bookmarkStart w:id="56" w:name="_Toc194939252"/>
      <w:bookmarkStart w:id="57" w:name="_Toc196215181"/>
      <w:bookmarkStart w:id="58" w:name="_Toc200463744"/>
      <w:bookmarkStart w:id="59" w:name="_Toc201743754"/>
      <w:bookmarkStart w:id="60" w:name="_Toc204852682"/>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10A44" w:rsidRDefault="00210A44" w:rsidP="009E5B91">
      <w:pPr>
        <w:pStyle w:val="affff6"/>
        <w:spacing w:line="24" w:lineRule="atLeast"/>
        <w:ind w:firstLine="420"/>
      </w:pPr>
      <w:bookmarkStart w:id="61" w:name="_Toc17233326"/>
      <w:bookmarkStart w:id="62" w:name="_Toc17233334"/>
      <w:bookmarkStart w:id="63" w:name="_Toc24884212"/>
      <w:bookmarkStart w:id="64" w:name="_Toc24884219"/>
      <w:bookmarkStart w:id="65" w:name="_Toc26648466"/>
      <w:r>
        <w:t>本文件</w:t>
      </w:r>
      <w:r w:rsidR="00A73728">
        <w:rPr>
          <w:rFonts w:hint="eastAsia"/>
        </w:rPr>
        <w:t>提供了</w:t>
      </w:r>
      <w:r w:rsidR="00411295">
        <w:rPr>
          <w:rFonts w:hint="eastAsia"/>
        </w:rPr>
        <w:t>贵州</w:t>
      </w:r>
      <w:r w:rsidR="00411295" w:rsidRPr="00411295">
        <w:rPr>
          <w:rFonts w:hint="eastAsia"/>
        </w:rPr>
        <w:t>分布式电力交易</w:t>
      </w:r>
      <w:r w:rsidR="00411295">
        <w:rPr>
          <w:rFonts w:hint="eastAsia"/>
        </w:rPr>
        <w:t>的指导和建议</w:t>
      </w:r>
      <w:r w:rsidR="00A50048">
        <w:rPr>
          <w:rFonts w:hint="eastAsia"/>
        </w:rPr>
        <w:t>，给出了</w:t>
      </w:r>
      <w:r w:rsidR="009E5B91">
        <w:rPr>
          <w:rFonts w:hint="eastAsia"/>
        </w:rPr>
        <w:t>总体原则、市场主体管理、分阶段交易实施路径、构建分布式交易品种体系、收益保障、结算与监管</w:t>
      </w:r>
      <w:r w:rsidR="00A50048">
        <w:rPr>
          <w:rFonts w:hint="eastAsia"/>
        </w:rPr>
        <w:t>等有关信息</w:t>
      </w:r>
      <w:r>
        <w:rPr>
          <w:rFonts w:hint="eastAsia"/>
        </w:rPr>
        <w:t>。</w:t>
      </w:r>
    </w:p>
    <w:p w:rsidR="00210A44" w:rsidRDefault="00210A44" w:rsidP="009E5B91">
      <w:pPr>
        <w:pStyle w:val="affff6"/>
        <w:spacing w:line="24" w:lineRule="atLeast"/>
        <w:ind w:firstLine="420"/>
      </w:pPr>
      <w:r>
        <w:rPr>
          <w:rFonts w:hint="eastAsia"/>
        </w:rPr>
        <w:t>本文件适用于</w:t>
      </w:r>
      <w:r w:rsidR="00411295">
        <w:rPr>
          <w:rFonts w:hint="eastAsia"/>
        </w:rPr>
        <w:t>贵州</w:t>
      </w:r>
      <w:r w:rsidR="00411295" w:rsidRPr="00411295">
        <w:rPr>
          <w:rFonts w:hint="eastAsia"/>
        </w:rPr>
        <w:t>分布式电力交易</w:t>
      </w:r>
      <w:r w:rsidR="00411295">
        <w:rPr>
          <w:rFonts w:hint="eastAsia"/>
        </w:rPr>
        <w:t>活动</w:t>
      </w:r>
      <w:r>
        <w:rPr>
          <w:rFonts w:hint="eastAsia"/>
        </w:rPr>
        <w:t>。</w:t>
      </w:r>
    </w:p>
    <w:p w:rsidR="00E2552F" w:rsidRDefault="00E2552F" w:rsidP="009E5B91">
      <w:pPr>
        <w:pStyle w:val="affc"/>
        <w:spacing w:before="240" w:after="240" w:line="24" w:lineRule="atLeast"/>
      </w:pPr>
      <w:bookmarkStart w:id="66" w:name="_Toc26718931"/>
      <w:bookmarkStart w:id="67" w:name="_Toc26986531"/>
      <w:bookmarkStart w:id="68" w:name="_Toc26986772"/>
      <w:bookmarkStart w:id="69" w:name="_Toc97192965"/>
      <w:bookmarkStart w:id="70" w:name="_Toc185860853"/>
      <w:bookmarkStart w:id="71" w:name="_Toc188533072"/>
      <w:bookmarkStart w:id="72" w:name="_Toc188533834"/>
      <w:bookmarkStart w:id="73" w:name="_Toc188618515"/>
      <w:bookmarkStart w:id="74" w:name="_Toc190359140"/>
      <w:bookmarkStart w:id="75" w:name="_Toc191051701"/>
      <w:bookmarkStart w:id="76" w:name="_Toc194407739"/>
      <w:bookmarkStart w:id="77" w:name="_Toc194939253"/>
      <w:bookmarkStart w:id="78" w:name="_Toc196215182"/>
      <w:bookmarkStart w:id="79" w:name="_Toc200463745"/>
      <w:bookmarkStart w:id="80" w:name="_Toc201743755"/>
      <w:bookmarkStart w:id="81" w:name="_Toc204852683"/>
      <w:r>
        <w:rPr>
          <w:rFonts w:hint="eastAsia"/>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9E5B91" w:rsidP="009E5B91">
          <w:pPr>
            <w:pStyle w:val="affff6"/>
            <w:spacing w:line="24" w:lineRule="atLeast"/>
            <w:ind w:firstLine="420"/>
          </w:pPr>
          <w:r>
            <w:rPr>
              <w:rFonts w:hint="eastAsia"/>
            </w:rPr>
            <w:t>本文件没有规范性引用文件。</w:t>
          </w:r>
        </w:p>
      </w:sdtContent>
    </w:sdt>
    <w:p w:rsidR="00B265BC" w:rsidRPr="00E030F9" w:rsidRDefault="00FD59EB" w:rsidP="009E5B91">
      <w:pPr>
        <w:pStyle w:val="affc"/>
        <w:spacing w:before="240" w:after="240" w:line="24" w:lineRule="atLeast"/>
      </w:pPr>
      <w:bookmarkStart w:id="82" w:name="_Toc97192966"/>
      <w:bookmarkStart w:id="83" w:name="_Toc185860854"/>
      <w:bookmarkStart w:id="84" w:name="_Toc188533073"/>
      <w:bookmarkStart w:id="85" w:name="_Toc188533835"/>
      <w:bookmarkStart w:id="86" w:name="_Toc188618516"/>
      <w:bookmarkStart w:id="87" w:name="_Toc190359141"/>
      <w:bookmarkStart w:id="88" w:name="_Toc191051702"/>
      <w:bookmarkStart w:id="89" w:name="_Toc194407740"/>
      <w:bookmarkStart w:id="90" w:name="_Toc194939254"/>
      <w:bookmarkStart w:id="91" w:name="_Toc196215183"/>
      <w:bookmarkStart w:id="92" w:name="_Toc200463746"/>
      <w:bookmarkStart w:id="93" w:name="_Toc201743756"/>
      <w:bookmarkStart w:id="94" w:name="_Toc204852684"/>
      <w:r>
        <w:rPr>
          <w:rFonts w:hint="eastAsia"/>
          <w:szCs w:val="21"/>
        </w:rPr>
        <w:t>术语和定义</w:t>
      </w:r>
      <w:bookmarkEnd w:id="82"/>
      <w:bookmarkEnd w:id="83"/>
      <w:bookmarkEnd w:id="84"/>
      <w:bookmarkEnd w:id="85"/>
      <w:bookmarkEnd w:id="86"/>
      <w:bookmarkEnd w:id="87"/>
      <w:bookmarkEnd w:id="88"/>
      <w:bookmarkEnd w:id="89"/>
      <w:bookmarkEnd w:id="90"/>
      <w:bookmarkEnd w:id="91"/>
      <w:bookmarkEnd w:id="92"/>
      <w:bookmarkEnd w:id="93"/>
      <w:bookmarkEnd w:id="94"/>
    </w:p>
    <w:bookmarkStart w:id="95" w:name="_Toc26986532" w:displacedByCustomXml="next"/>
    <w:bookmarkEnd w:id="95" w:displacedByCustomXml="next"/>
    <w:bookmarkStart w:id="96"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96" w:displacedByCustomXml="prev"/>
        <w:p w:rsidR="003C010C" w:rsidRDefault="008917FC" w:rsidP="009E5B91">
          <w:pPr>
            <w:pStyle w:val="affff6"/>
            <w:spacing w:line="24" w:lineRule="atLeast"/>
            <w:ind w:firstLine="420"/>
          </w:pPr>
          <w:r>
            <w:t>下列术语和定义适用于本文件。</w:t>
          </w:r>
        </w:p>
      </w:sdtContent>
    </w:sdt>
    <w:p w:rsidR="008917FC" w:rsidRPr="00132D0E" w:rsidRDefault="00132D0E" w:rsidP="009E5B91">
      <w:pPr>
        <w:pStyle w:val="affffffffffe"/>
        <w:spacing w:line="24" w:lineRule="atLeast"/>
        <w:ind w:left="420" w:hangingChars="200" w:hanging="420"/>
        <w:rPr>
          <w:rFonts w:ascii="黑体" w:eastAsia="黑体" w:hAnsi="黑体"/>
        </w:rPr>
      </w:pPr>
      <w:bookmarkStart w:id="97" w:name="_Toc200463747"/>
      <w:bookmarkStart w:id="98" w:name="_Toc190359142"/>
      <w:bookmarkStart w:id="99" w:name="_Toc191051703"/>
      <w:bookmarkStart w:id="100" w:name="_Toc194407741"/>
      <w:bookmarkStart w:id="101" w:name="_Toc194939255"/>
      <w:bookmarkStart w:id="102" w:name="_Toc185860855"/>
      <w:r w:rsidRPr="00132D0E">
        <w:rPr>
          <w:rFonts w:ascii="黑体" w:eastAsia="黑体" w:hAnsi="黑体"/>
        </w:rPr>
        <w:br/>
      </w:r>
      <w:r w:rsidR="008917FC" w:rsidRPr="00132D0E">
        <w:rPr>
          <w:rFonts w:ascii="黑体" w:eastAsia="黑体" w:hAnsi="黑体" w:hint="eastAsia"/>
        </w:rPr>
        <w:t>分布式电力能量块交易</w:t>
      </w:r>
      <w:r w:rsidRPr="00132D0E">
        <w:rPr>
          <w:rFonts w:ascii="黑体" w:eastAsia="黑体" w:hAnsi="黑体" w:hint="eastAsia"/>
        </w:rPr>
        <w:t xml:space="preserve">  d</w:t>
      </w:r>
      <w:r w:rsidRPr="00132D0E">
        <w:rPr>
          <w:rFonts w:ascii="黑体" w:eastAsia="黑体" w:hAnsi="黑体"/>
        </w:rPr>
        <w:t>istributed</w:t>
      </w:r>
      <w:r w:rsidRPr="00132D0E">
        <w:rPr>
          <w:rFonts w:ascii="黑体" w:eastAsia="黑体" w:hAnsi="黑体" w:hint="eastAsia"/>
        </w:rPr>
        <w:t xml:space="preserve"> e</w:t>
      </w:r>
      <w:r w:rsidRPr="00132D0E">
        <w:rPr>
          <w:rFonts w:ascii="黑体" w:eastAsia="黑体" w:hAnsi="黑体"/>
        </w:rPr>
        <w:t xml:space="preserve">lectric </w:t>
      </w:r>
      <w:r w:rsidRPr="00132D0E">
        <w:rPr>
          <w:rFonts w:ascii="黑体" w:eastAsia="黑体" w:hAnsi="黑体" w:hint="eastAsia"/>
        </w:rPr>
        <w:t>p</w:t>
      </w:r>
      <w:r w:rsidRPr="00132D0E">
        <w:rPr>
          <w:rFonts w:ascii="黑体" w:eastAsia="黑体" w:hAnsi="黑体"/>
        </w:rPr>
        <w:t xml:space="preserve">ower </w:t>
      </w:r>
      <w:r w:rsidRPr="00132D0E">
        <w:rPr>
          <w:rFonts w:ascii="黑体" w:eastAsia="黑体" w:hAnsi="黑体" w:hint="eastAsia"/>
        </w:rPr>
        <w:t>e</w:t>
      </w:r>
      <w:r w:rsidRPr="00132D0E">
        <w:rPr>
          <w:rFonts w:ascii="黑体" w:eastAsia="黑体" w:hAnsi="黑体"/>
        </w:rPr>
        <w:t xml:space="preserve">nergy </w:t>
      </w:r>
      <w:r w:rsidRPr="00132D0E">
        <w:rPr>
          <w:rFonts w:ascii="黑体" w:eastAsia="黑体" w:hAnsi="黑体" w:hint="eastAsia"/>
        </w:rPr>
        <w:t>b</w:t>
      </w:r>
      <w:r w:rsidRPr="00132D0E">
        <w:rPr>
          <w:rFonts w:ascii="黑体" w:eastAsia="黑体" w:hAnsi="黑体"/>
        </w:rPr>
        <w:t xml:space="preserve">lock </w:t>
      </w:r>
      <w:r w:rsidRPr="00132D0E">
        <w:rPr>
          <w:rFonts w:ascii="黑体" w:eastAsia="黑体" w:hAnsi="黑体" w:hint="eastAsia"/>
        </w:rPr>
        <w:t>t</w:t>
      </w:r>
      <w:r w:rsidRPr="00132D0E">
        <w:rPr>
          <w:rFonts w:ascii="黑体" w:eastAsia="黑体" w:hAnsi="黑体"/>
        </w:rPr>
        <w:t>rading</w:t>
      </w:r>
    </w:p>
    <w:p w:rsidR="008917FC" w:rsidRDefault="008917FC" w:rsidP="009E5B91">
      <w:pPr>
        <w:pStyle w:val="affff6"/>
        <w:spacing w:line="24" w:lineRule="atLeast"/>
        <w:ind w:firstLine="420"/>
      </w:pPr>
      <w:r w:rsidRPr="008917FC">
        <w:rPr>
          <w:rFonts w:hint="eastAsia"/>
        </w:rPr>
        <w:t>指分布式新能源与具有调减持仓曲线需求的发电企业、调增持仓曲线的售电公司或用户、常规购电需求的售电公司或用户进行的标准能量块交易。</w:t>
      </w:r>
    </w:p>
    <w:p w:rsidR="00132D0E" w:rsidRPr="00132D0E" w:rsidRDefault="00132D0E" w:rsidP="009E5B91">
      <w:pPr>
        <w:pStyle w:val="affffffffffe"/>
        <w:spacing w:line="24" w:lineRule="atLeast"/>
        <w:ind w:left="420" w:hangingChars="200" w:hanging="420"/>
        <w:rPr>
          <w:rFonts w:ascii="黑体" w:eastAsia="黑体" w:hAnsi="黑体"/>
        </w:rPr>
      </w:pPr>
      <w:r w:rsidRPr="00132D0E">
        <w:rPr>
          <w:rFonts w:ascii="黑体" w:eastAsia="黑体" w:hAnsi="黑体"/>
        </w:rPr>
        <w:br/>
      </w:r>
      <w:r w:rsidRPr="00132D0E">
        <w:rPr>
          <w:rFonts w:ascii="黑体" w:eastAsia="黑体" w:hAnsi="黑体" w:hint="eastAsia"/>
        </w:rPr>
        <w:t>分布式新能源消纳交易  d</w:t>
      </w:r>
      <w:r w:rsidRPr="00132D0E">
        <w:rPr>
          <w:rFonts w:ascii="黑体" w:eastAsia="黑体" w:hAnsi="黑体"/>
        </w:rPr>
        <w:t xml:space="preserve">istributed </w:t>
      </w:r>
      <w:r w:rsidRPr="00132D0E">
        <w:rPr>
          <w:rFonts w:ascii="黑体" w:eastAsia="黑体" w:hAnsi="黑体" w:hint="eastAsia"/>
        </w:rPr>
        <w:t>n</w:t>
      </w:r>
      <w:r w:rsidRPr="00132D0E">
        <w:rPr>
          <w:rFonts w:ascii="黑体" w:eastAsia="黑体" w:hAnsi="黑体"/>
        </w:rPr>
        <w:t xml:space="preserve">ew </w:t>
      </w:r>
      <w:r w:rsidRPr="00132D0E">
        <w:rPr>
          <w:rFonts w:ascii="黑体" w:eastAsia="黑体" w:hAnsi="黑体" w:hint="eastAsia"/>
        </w:rPr>
        <w:t>e</w:t>
      </w:r>
      <w:r w:rsidRPr="00132D0E">
        <w:rPr>
          <w:rFonts w:ascii="黑体" w:eastAsia="黑体" w:hAnsi="黑体"/>
        </w:rPr>
        <w:t xml:space="preserve">nergy </w:t>
      </w:r>
      <w:r w:rsidRPr="00132D0E">
        <w:rPr>
          <w:rFonts w:ascii="黑体" w:eastAsia="黑体" w:hAnsi="黑体" w:hint="eastAsia"/>
        </w:rPr>
        <w:t>c</w:t>
      </w:r>
      <w:r w:rsidRPr="00132D0E">
        <w:rPr>
          <w:rFonts w:ascii="黑体" w:eastAsia="黑体" w:hAnsi="黑体"/>
        </w:rPr>
        <w:t xml:space="preserve">onsumption </w:t>
      </w:r>
      <w:r w:rsidRPr="00132D0E">
        <w:rPr>
          <w:rFonts w:ascii="黑体" w:eastAsia="黑体" w:hAnsi="黑体" w:hint="eastAsia"/>
        </w:rPr>
        <w:t>t</w:t>
      </w:r>
      <w:r w:rsidRPr="00132D0E">
        <w:rPr>
          <w:rFonts w:ascii="黑体" w:eastAsia="黑体" w:hAnsi="黑体"/>
        </w:rPr>
        <w:t>rading</w:t>
      </w:r>
    </w:p>
    <w:p w:rsidR="00132D0E" w:rsidRDefault="00132D0E" w:rsidP="009E5B91">
      <w:pPr>
        <w:pStyle w:val="affff6"/>
        <w:spacing w:line="24" w:lineRule="atLeast"/>
        <w:ind w:firstLine="420"/>
      </w:pPr>
      <w:r w:rsidRPr="00132D0E">
        <w:rPr>
          <w:rFonts w:hint="eastAsia"/>
        </w:rPr>
        <w:t>指当分布式新能源受限时，分布式新能源与储能或电力用户购买充电或用户增加用电服务来增加消纳的交易。</w:t>
      </w:r>
    </w:p>
    <w:p w:rsidR="00895472" w:rsidRDefault="00411295" w:rsidP="009E5B91">
      <w:pPr>
        <w:pStyle w:val="affc"/>
        <w:spacing w:before="240" w:after="240" w:line="24" w:lineRule="atLeast"/>
      </w:pPr>
      <w:bookmarkStart w:id="103" w:name="_Toc204852685"/>
      <w:r>
        <w:t>总体原则</w:t>
      </w:r>
      <w:bookmarkEnd w:id="103"/>
    </w:p>
    <w:bookmarkEnd w:id="97"/>
    <w:bookmarkEnd w:id="98"/>
    <w:bookmarkEnd w:id="99"/>
    <w:bookmarkEnd w:id="100"/>
    <w:bookmarkEnd w:id="101"/>
    <w:bookmarkEnd w:id="102"/>
    <w:p w:rsidR="00AE18E0" w:rsidRDefault="00BF111C" w:rsidP="009E5B91">
      <w:pPr>
        <w:pStyle w:val="affffffff7"/>
        <w:spacing w:line="24" w:lineRule="atLeast"/>
      </w:pPr>
      <w:r w:rsidRPr="00BF111C">
        <w:rPr>
          <w:rFonts w:hint="eastAsia"/>
        </w:rPr>
        <w:t>保障电能生产、输送和使用的动态平衡，</w:t>
      </w:r>
      <w:r w:rsidR="00AE18E0">
        <w:rPr>
          <w:rFonts w:hint="eastAsia"/>
        </w:rPr>
        <w:t>保障电力系统安全稳定运行和电力可靠供应，遵循电力系统运行客观规律。</w:t>
      </w:r>
    </w:p>
    <w:p w:rsidR="00AE18E0" w:rsidRDefault="00AE18E0" w:rsidP="009E5B91">
      <w:pPr>
        <w:pStyle w:val="affffffff7"/>
        <w:spacing w:line="24" w:lineRule="atLeast"/>
      </w:pPr>
      <w:r>
        <w:rPr>
          <w:rFonts w:hint="eastAsia"/>
        </w:rPr>
        <w:t>发挥市场在资源配置中的决定性作用，营造公开、公平、公正的市场环境，以价格信号引导电力生产和消费</w:t>
      </w:r>
      <w:r w:rsidR="00BF111C" w:rsidRPr="00BF111C">
        <w:rPr>
          <w:rFonts w:hint="eastAsia"/>
        </w:rPr>
        <w:t>，激发市场主体活力，提升电力系统运行效率</w:t>
      </w:r>
      <w:r>
        <w:rPr>
          <w:rFonts w:hint="eastAsia"/>
        </w:rPr>
        <w:t>。</w:t>
      </w:r>
    </w:p>
    <w:p w:rsidR="00AE18E0" w:rsidRDefault="00AE18E0" w:rsidP="009E5B91">
      <w:pPr>
        <w:pStyle w:val="affffffff7"/>
        <w:spacing w:line="24" w:lineRule="atLeast"/>
      </w:pPr>
      <w:r>
        <w:rPr>
          <w:rFonts w:hint="eastAsia"/>
        </w:rPr>
        <w:t>推动分布式新能源、售电公司、批发用户等主体实现绿色价值在各环节顺畅传导，实现共利发展。</w:t>
      </w:r>
    </w:p>
    <w:p w:rsidR="00567632" w:rsidRDefault="00BF111C" w:rsidP="009E5B91">
      <w:pPr>
        <w:pStyle w:val="affffffff7"/>
        <w:spacing w:line="24" w:lineRule="atLeast"/>
      </w:pPr>
      <w:r w:rsidRPr="00BF111C">
        <w:rPr>
          <w:rFonts w:hint="eastAsia"/>
        </w:rPr>
        <w:t>加强电力市场监督管理，完善监管措施和技术，对安全管控、调度运行、市场交易、费用结算、信息披露等实施全过程监督管理</w:t>
      </w:r>
      <w:r>
        <w:rPr>
          <w:rFonts w:hint="eastAsia"/>
        </w:rPr>
        <w:t>，</w:t>
      </w:r>
      <w:r w:rsidR="00AE18E0">
        <w:rPr>
          <w:rFonts w:hint="eastAsia"/>
        </w:rPr>
        <w:t>保障市场平稳、规范、有序运行。</w:t>
      </w:r>
    </w:p>
    <w:p w:rsidR="00A73728" w:rsidRDefault="00746392" w:rsidP="009E5B91">
      <w:pPr>
        <w:pStyle w:val="affc"/>
        <w:spacing w:before="240" w:after="240" w:line="24" w:lineRule="atLeast"/>
      </w:pPr>
      <w:bookmarkStart w:id="104" w:name="_Toc204852686"/>
      <w:r>
        <w:t>市场主体</w:t>
      </w:r>
      <w:r w:rsidR="00576794">
        <w:t>管理</w:t>
      </w:r>
      <w:bookmarkEnd w:id="104"/>
    </w:p>
    <w:p w:rsidR="00A73728" w:rsidRDefault="00F5210F" w:rsidP="009E5B91">
      <w:pPr>
        <w:pStyle w:val="affd"/>
        <w:spacing w:before="120" w:after="120" w:line="24" w:lineRule="atLeast"/>
      </w:pPr>
      <w:r>
        <w:t>分布式新能源主体</w:t>
      </w:r>
    </w:p>
    <w:p w:rsidR="00576794" w:rsidRDefault="00576794" w:rsidP="009E5B91">
      <w:pPr>
        <w:pStyle w:val="affe"/>
        <w:spacing w:before="120" w:after="120" w:line="24" w:lineRule="atLeast"/>
      </w:pPr>
      <w:r>
        <w:rPr>
          <w:rFonts w:hint="eastAsia"/>
        </w:rPr>
        <w:t>准入条件</w:t>
      </w:r>
    </w:p>
    <w:p w:rsidR="00576794" w:rsidRDefault="00576794" w:rsidP="009E5B91">
      <w:pPr>
        <w:pStyle w:val="affffffff9"/>
        <w:spacing w:line="24" w:lineRule="atLeast"/>
      </w:pPr>
      <w:r>
        <w:rPr>
          <w:rFonts w:hint="eastAsia"/>
        </w:rPr>
        <w:t>具有独立法人资格或自然人身份，项目已完成备案并符合国家产业政策。</w:t>
      </w:r>
    </w:p>
    <w:p w:rsidR="00576794" w:rsidRDefault="00576794" w:rsidP="009E5B91">
      <w:pPr>
        <w:pStyle w:val="affffffff9"/>
        <w:spacing w:line="24" w:lineRule="atLeast"/>
      </w:pPr>
      <w:r>
        <w:rPr>
          <w:rFonts w:hint="eastAsia"/>
        </w:rPr>
        <w:t>配备独立计量表计，实现发电量、上网电量、下网电量单独计量，具备数据远程传输能力。</w:t>
      </w:r>
    </w:p>
    <w:p w:rsidR="00576794" w:rsidRDefault="00576794" w:rsidP="009E5B91">
      <w:pPr>
        <w:pStyle w:val="affe"/>
        <w:spacing w:before="120" w:after="120" w:line="24" w:lineRule="atLeast"/>
      </w:pPr>
      <w:r>
        <w:rPr>
          <w:rFonts w:hint="eastAsia"/>
        </w:rPr>
        <w:t>注册流程</w:t>
      </w:r>
    </w:p>
    <w:p w:rsidR="00576794" w:rsidRDefault="00576794" w:rsidP="009E5B91">
      <w:pPr>
        <w:pStyle w:val="affffffff9"/>
        <w:spacing w:line="24" w:lineRule="atLeast"/>
      </w:pPr>
      <w:r>
        <w:rPr>
          <w:rFonts w:hint="eastAsia"/>
        </w:rPr>
        <w:t>在贵州电力交易平台完成注册，提交项目备案文件、发用电户号等信息。</w:t>
      </w:r>
    </w:p>
    <w:p w:rsidR="00A73728" w:rsidRPr="00D94E08" w:rsidRDefault="00576794" w:rsidP="009E5B91">
      <w:pPr>
        <w:pStyle w:val="affffffff9"/>
        <w:spacing w:line="24" w:lineRule="atLeast"/>
      </w:pPr>
      <w:r>
        <w:rPr>
          <w:rFonts w:hint="eastAsia"/>
        </w:rPr>
        <w:t>注册后原则上不得退市，除非发生企业破产、设备退役等特殊情况。</w:t>
      </w:r>
    </w:p>
    <w:p w:rsidR="00796E75" w:rsidRDefault="00796E75" w:rsidP="009E5B91">
      <w:pPr>
        <w:pStyle w:val="affd"/>
        <w:spacing w:before="120" w:after="120" w:line="24" w:lineRule="atLeast"/>
      </w:pPr>
      <w:r>
        <w:rPr>
          <w:rFonts w:hint="eastAsia"/>
        </w:rPr>
        <w:t>聚合商</w:t>
      </w:r>
    </w:p>
    <w:p w:rsidR="00796E75" w:rsidRDefault="00796E75" w:rsidP="009E5B91">
      <w:pPr>
        <w:pStyle w:val="affe"/>
        <w:spacing w:before="120" w:after="120" w:line="24" w:lineRule="atLeast"/>
      </w:pPr>
      <w:r>
        <w:rPr>
          <w:rFonts w:hint="eastAsia"/>
        </w:rPr>
        <w:t>准入条件</w:t>
      </w:r>
    </w:p>
    <w:p w:rsidR="00E0589A" w:rsidRDefault="00E0589A" w:rsidP="009E5B91">
      <w:pPr>
        <w:pStyle w:val="affffffff9"/>
        <w:spacing w:line="24" w:lineRule="atLeast"/>
      </w:pPr>
      <w:r w:rsidRPr="00E0589A">
        <w:rPr>
          <w:rFonts w:hint="eastAsia"/>
        </w:rPr>
        <w:lastRenderedPageBreak/>
        <w:t>具备分布式新能源运行和计量信息采集能力，</w:t>
      </w:r>
      <w:r>
        <w:rPr>
          <w:rFonts w:hint="eastAsia"/>
        </w:rPr>
        <w:t>实现与分布式新能源主体、调度机构、营销系统远程通信，</w:t>
      </w:r>
      <w:r w:rsidRPr="00E0589A">
        <w:rPr>
          <w:rFonts w:hint="eastAsia"/>
        </w:rPr>
        <w:t>可通过电网数据增值分析服务获得相关数据。</w:t>
      </w:r>
      <w:r>
        <w:rPr>
          <w:rFonts w:hint="eastAsia"/>
        </w:rPr>
        <w:t>具有独立著作权聚合软件（平台），</w:t>
      </w:r>
      <w:r w:rsidRPr="00E0589A">
        <w:rPr>
          <w:rFonts w:hint="eastAsia"/>
        </w:rPr>
        <w:t>保障其自身数据安全。</w:t>
      </w:r>
    </w:p>
    <w:p w:rsidR="00796E75" w:rsidRDefault="00796E75" w:rsidP="009E5B91">
      <w:pPr>
        <w:pStyle w:val="affffffff9"/>
        <w:spacing w:line="24" w:lineRule="atLeast"/>
      </w:pPr>
      <w:r>
        <w:rPr>
          <w:rFonts w:hint="eastAsia"/>
        </w:rPr>
        <w:t>具备独立法人资格，资产总额、从业人员等要求参照售电公司标准，按代理电量提交履约保函或保险。</w:t>
      </w:r>
    </w:p>
    <w:p w:rsidR="00796E75" w:rsidRDefault="00796E75" w:rsidP="009E5B91">
      <w:pPr>
        <w:pStyle w:val="affe"/>
        <w:spacing w:before="120" w:after="120" w:line="24" w:lineRule="atLeast"/>
      </w:pPr>
      <w:r>
        <w:rPr>
          <w:rFonts w:hint="eastAsia"/>
        </w:rPr>
        <w:t>聚合规则</w:t>
      </w:r>
    </w:p>
    <w:p w:rsidR="00796E75" w:rsidRDefault="00796E75" w:rsidP="009E5B91">
      <w:pPr>
        <w:pStyle w:val="affffffffa"/>
        <w:spacing w:line="24" w:lineRule="atLeast"/>
      </w:pPr>
      <w:r>
        <w:rPr>
          <w:rFonts w:hint="eastAsia"/>
        </w:rPr>
        <w:t>以电子合同确立与分布式新能源的代理关系，同一周期内一个项目仅可委托一家聚合商。</w:t>
      </w:r>
    </w:p>
    <w:p w:rsidR="00A73728" w:rsidRDefault="00796E75" w:rsidP="009E5B91">
      <w:pPr>
        <w:pStyle w:val="affffffffa"/>
        <w:spacing w:line="24" w:lineRule="atLeast"/>
      </w:pPr>
      <w:r>
        <w:rPr>
          <w:rFonts w:hint="eastAsia"/>
        </w:rPr>
        <w:t>聚合单元原则上不超出同</w:t>
      </w:r>
      <w:r w:rsidR="00E0589A">
        <w:rPr>
          <w:rFonts w:hint="eastAsia"/>
        </w:rPr>
        <w:t xml:space="preserve"> </w:t>
      </w:r>
      <w:r>
        <w:rPr>
          <w:rFonts w:hint="eastAsia"/>
        </w:rPr>
        <w:t xml:space="preserve">220 </w:t>
      </w:r>
      <w:r w:rsidR="00D96BA5">
        <w:rPr>
          <w:rFonts w:hint="eastAsia"/>
        </w:rPr>
        <w:t xml:space="preserve">kV </w:t>
      </w:r>
      <w:r>
        <w:rPr>
          <w:rFonts w:hint="eastAsia"/>
        </w:rPr>
        <w:t>变电站供电区域，实行 “聚合交易、分别结算”。</w:t>
      </w:r>
    </w:p>
    <w:p w:rsidR="00A73728" w:rsidRDefault="00E0589A" w:rsidP="009E5B91">
      <w:pPr>
        <w:pStyle w:val="affc"/>
        <w:spacing w:before="240" w:after="240" w:line="24" w:lineRule="atLeast"/>
      </w:pPr>
      <w:bookmarkStart w:id="105" w:name="_Toc204852687"/>
      <w:r>
        <w:t>分阶段交易实施路径</w:t>
      </w:r>
      <w:bookmarkEnd w:id="105"/>
    </w:p>
    <w:p w:rsidR="00EE4C55" w:rsidRDefault="00EE4C55" w:rsidP="009E5B91">
      <w:pPr>
        <w:pStyle w:val="affd"/>
        <w:spacing w:before="120" w:after="120" w:line="24" w:lineRule="atLeast"/>
      </w:pPr>
      <w:r>
        <w:rPr>
          <w:rFonts w:hint="eastAsia"/>
        </w:rPr>
        <w:t>10</w:t>
      </w:r>
      <w:r w:rsidR="00A50048">
        <w:rPr>
          <w:rFonts w:hint="eastAsia"/>
        </w:rPr>
        <w:t xml:space="preserve"> </w:t>
      </w:r>
      <w:r>
        <w:rPr>
          <w:rFonts w:hint="eastAsia"/>
        </w:rPr>
        <w:t>kV 及以上工商业分布式新能源入市</w:t>
      </w:r>
    </w:p>
    <w:p w:rsidR="00EE4C55" w:rsidRDefault="00EE4C55" w:rsidP="009E5B91">
      <w:pPr>
        <w:pStyle w:val="affffffffa"/>
        <w:spacing w:line="24" w:lineRule="atLeast"/>
      </w:pPr>
      <w:r>
        <w:rPr>
          <w:rFonts w:hint="eastAsia"/>
        </w:rPr>
        <w:t>10</w:t>
      </w:r>
      <w:r w:rsidR="00A50048">
        <w:rPr>
          <w:rFonts w:hint="eastAsia"/>
        </w:rPr>
        <w:t xml:space="preserve"> </w:t>
      </w:r>
      <w:r>
        <w:rPr>
          <w:rFonts w:hint="eastAsia"/>
        </w:rPr>
        <w:t>kV 及以上工商业分布式新能源上网电量，可自主选择直接参与或作为价格接受者参与。</w:t>
      </w:r>
    </w:p>
    <w:p w:rsidR="00EE4C55" w:rsidRDefault="00EE4C55" w:rsidP="009E5B91">
      <w:pPr>
        <w:pStyle w:val="affffffffa"/>
        <w:spacing w:line="24" w:lineRule="atLeast"/>
      </w:pPr>
      <w:r>
        <w:rPr>
          <w:rFonts w:hint="eastAsia"/>
        </w:rPr>
        <w:t>直接参与者通过市场化方式形成电价，价格接受者按直接参与者月度平均电价结算；其余项目由电网企业按燃煤基准价收购。</w:t>
      </w:r>
    </w:p>
    <w:p w:rsidR="00EE4C55" w:rsidRDefault="00EE4C55" w:rsidP="009E5B91">
      <w:pPr>
        <w:pStyle w:val="affd"/>
        <w:spacing w:before="120" w:after="120" w:line="24" w:lineRule="atLeast"/>
      </w:pPr>
      <w:r>
        <w:rPr>
          <w:rFonts w:hint="eastAsia"/>
        </w:rPr>
        <w:t>全量工商业分布式新能源入市</w:t>
      </w:r>
    </w:p>
    <w:p w:rsidR="00EE4C55" w:rsidRDefault="00EE4C55" w:rsidP="009E5B91">
      <w:pPr>
        <w:pStyle w:val="affffffffa"/>
        <w:spacing w:line="24" w:lineRule="atLeast"/>
      </w:pPr>
      <w:r>
        <w:rPr>
          <w:rFonts w:hint="eastAsia"/>
        </w:rPr>
        <w:t>扩大至所有工商业分布式新能源，10</w:t>
      </w:r>
      <w:r w:rsidR="00A50048">
        <w:rPr>
          <w:rFonts w:hint="eastAsia"/>
        </w:rPr>
        <w:t xml:space="preserve"> </w:t>
      </w:r>
      <w:r>
        <w:rPr>
          <w:rFonts w:hint="eastAsia"/>
        </w:rPr>
        <w:t>kV 以下项目可自主选择参与方式。</w:t>
      </w:r>
    </w:p>
    <w:p w:rsidR="00EE4C55" w:rsidRDefault="00EE4C55" w:rsidP="009E5B91">
      <w:pPr>
        <w:pStyle w:val="affffffffa"/>
        <w:spacing w:line="24" w:lineRule="atLeast"/>
      </w:pPr>
      <w:r>
        <w:rPr>
          <w:rFonts w:hint="eastAsia"/>
        </w:rPr>
        <w:t>10</w:t>
      </w:r>
      <w:r w:rsidR="00A50048">
        <w:rPr>
          <w:rFonts w:hint="eastAsia"/>
        </w:rPr>
        <w:t xml:space="preserve"> </w:t>
      </w:r>
      <w:r>
        <w:rPr>
          <w:rFonts w:hint="eastAsia"/>
        </w:rPr>
        <w:t>kV 及以上项目参与中长期带曲线交易，并以“报量不报价”方式参与日前现货市场，偏差电量实行双偏差结算。</w:t>
      </w:r>
    </w:p>
    <w:p w:rsidR="00EE4C55" w:rsidRDefault="00EE4C55" w:rsidP="009E5B91">
      <w:pPr>
        <w:pStyle w:val="affd"/>
        <w:spacing w:before="120" w:after="120" w:line="24" w:lineRule="atLeast"/>
      </w:pPr>
      <w:r>
        <w:rPr>
          <w:rFonts w:hint="eastAsia"/>
        </w:rPr>
        <w:t>全量分布式新能源入市</w:t>
      </w:r>
    </w:p>
    <w:p w:rsidR="00EE4C55" w:rsidRDefault="00EE4C55" w:rsidP="009E5B91">
      <w:pPr>
        <w:pStyle w:val="affffffffa"/>
        <w:spacing w:line="24" w:lineRule="atLeast"/>
      </w:pPr>
      <w:r>
        <w:rPr>
          <w:rFonts w:hint="eastAsia"/>
        </w:rPr>
        <w:t>除扶贫光伏外的所有分布式新能源，户用光伏作为价格接受者参与市场。</w:t>
      </w:r>
    </w:p>
    <w:p w:rsidR="00A73728" w:rsidRDefault="00EE4C55" w:rsidP="009E5B91">
      <w:pPr>
        <w:pStyle w:val="affffffffa"/>
        <w:spacing w:line="24" w:lineRule="atLeast"/>
      </w:pPr>
      <w:r>
        <w:rPr>
          <w:rFonts w:hint="eastAsia"/>
        </w:rPr>
        <w:t>实现分布式新能源全量参与电力市场，形成多品种、全周期的交易体系。</w:t>
      </w:r>
    </w:p>
    <w:p w:rsidR="00A73728" w:rsidRDefault="000F2826" w:rsidP="009E5B91">
      <w:pPr>
        <w:pStyle w:val="affc"/>
        <w:spacing w:before="240" w:after="240" w:line="24" w:lineRule="atLeast"/>
      </w:pPr>
      <w:bookmarkStart w:id="106" w:name="_Toc204852688"/>
      <w:r w:rsidRPr="000F2826">
        <w:rPr>
          <w:rFonts w:hint="eastAsia"/>
        </w:rPr>
        <w:t>构建分布式交易品种体系</w:t>
      </w:r>
      <w:bookmarkEnd w:id="106"/>
    </w:p>
    <w:p w:rsidR="00A73728" w:rsidRDefault="000F2826" w:rsidP="009E5B91">
      <w:pPr>
        <w:pStyle w:val="affd"/>
        <w:spacing w:before="120" w:after="120" w:line="24" w:lineRule="atLeast"/>
      </w:pPr>
      <w:r w:rsidRPr="000F2826">
        <w:rPr>
          <w:rFonts w:hint="eastAsia"/>
        </w:rPr>
        <w:t>分布式电力能量块交易体系</w:t>
      </w:r>
    </w:p>
    <w:p w:rsidR="00A73728" w:rsidRDefault="008917FC" w:rsidP="009E5B91">
      <w:pPr>
        <w:pStyle w:val="affe"/>
        <w:spacing w:before="120" w:after="120" w:line="24" w:lineRule="atLeast"/>
      </w:pPr>
      <w:r>
        <w:t>目的</w:t>
      </w:r>
    </w:p>
    <w:p w:rsidR="00A73728" w:rsidRDefault="008917FC" w:rsidP="009E5B91">
      <w:pPr>
        <w:pStyle w:val="affff6"/>
        <w:spacing w:line="24" w:lineRule="atLeast"/>
        <w:ind w:firstLine="420"/>
      </w:pPr>
      <w:r w:rsidRPr="008917FC">
        <w:rPr>
          <w:rFonts w:hint="eastAsia"/>
        </w:rPr>
        <w:t>为促进不同的市场主体与分布式新能源交易，在实现分布式新能源通过市场化方式消纳的同时，满足不同市场主体的中长期合同曲线精细化的调整需求。</w:t>
      </w:r>
    </w:p>
    <w:p w:rsidR="00A73728" w:rsidRDefault="002217B4" w:rsidP="009E5B91">
      <w:pPr>
        <w:pStyle w:val="affe"/>
        <w:spacing w:before="120" w:after="120" w:line="24" w:lineRule="atLeast"/>
      </w:pPr>
      <w:r>
        <w:t>市场主体</w:t>
      </w:r>
    </w:p>
    <w:p w:rsidR="002217B4" w:rsidRPr="002217B4" w:rsidRDefault="002217B4" w:rsidP="009E5B91">
      <w:pPr>
        <w:pStyle w:val="affff6"/>
        <w:spacing w:line="24" w:lineRule="atLeast"/>
        <w:ind w:firstLine="420"/>
      </w:pPr>
      <w:r w:rsidRPr="002217B4">
        <w:rPr>
          <w:rFonts w:hint="eastAsia"/>
        </w:rPr>
        <w:t>卖方为分布式电源，买方包括有合同曲线调整需求的发电企业、售电公司、用户及常规购电需求主体。</w:t>
      </w:r>
    </w:p>
    <w:p w:rsidR="00A73728" w:rsidRDefault="002217B4" w:rsidP="009E5B91">
      <w:pPr>
        <w:pStyle w:val="affe"/>
        <w:spacing w:before="120" w:after="120" w:line="24" w:lineRule="atLeast"/>
      </w:pPr>
      <w:r>
        <w:t>交易标的</w:t>
      </w:r>
    </w:p>
    <w:p w:rsidR="00A73728" w:rsidRDefault="000E4047" w:rsidP="009E5B91">
      <w:pPr>
        <w:pStyle w:val="affff6"/>
        <w:spacing w:line="24" w:lineRule="atLeast"/>
        <w:ind w:firstLine="420"/>
      </w:pPr>
      <w:r w:rsidRPr="000E4047">
        <w:rPr>
          <w:rFonts w:hint="eastAsia"/>
        </w:rPr>
        <w:t xml:space="preserve">执行日按小时划分的电能量（单位：1 </w:t>
      </w:r>
      <w:r w:rsidR="00DF3DFB">
        <w:rPr>
          <w:rFonts w:hint="eastAsia"/>
        </w:rPr>
        <w:t>h</w:t>
      </w:r>
      <w:r w:rsidRPr="000E4047">
        <w:rPr>
          <w:rFonts w:hint="eastAsia"/>
        </w:rPr>
        <w:t>×</w:t>
      </w:r>
      <w:r w:rsidR="00DF3DFB" w:rsidRPr="00DF3DFB">
        <w:t>MWh</w:t>
      </w:r>
      <w:r w:rsidRPr="000E4047">
        <w:rPr>
          <w:rFonts w:hint="eastAsia"/>
        </w:rPr>
        <w:t>），明确年</w:t>
      </w:r>
      <w:r w:rsidR="00DF3DFB">
        <w:rPr>
          <w:rFonts w:hint="eastAsia"/>
        </w:rPr>
        <w:t>/</w:t>
      </w:r>
      <w:r w:rsidRPr="000E4047">
        <w:rPr>
          <w:rFonts w:hint="eastAsia"/>
        </w:rPr>
        <w:t>月</w:t>
      </w:r>
      <w:r w:rsidR="00DF3DFB">
        <w:rPr>
          <w:rFonts w:hint="eastAsia"/>
        </w:rPr>
        <w:t>/</w:t>
      </w:r>
      <w:r w:rsidRPr="000E4047">
        <w:rPr>
          <w:rFonts w:hint="eastAsia"/>
        </w:rPr>
        <w:t>日</w:t>
      </w:r>
      <w:r w:rsidR="00DF3DFB">
        <w:rPr>
          <w:rFonts w:hint="eastAsia"/>
        </w:rPr>
        <w:t>/</w:t>
      </w:r>
      <w:r w:rsidRPr="000E4047">
        <w:rPr>
          <w:rFonts w:hint="eastAsia"/>
        </w:rPr>
        <w:t>时。</w:t>
      </w:r>
    </w:p>
    <w:p w:rsidR="00986419" w:rsidRDefault="00986419" w:rsidP="009E5B91">
      <w:pPr>
        <w:pStyle w:val="affe"/>
        <w:spacing w:before="120" w:after="120" w:line="24" w:lineRule="atLeast"/>
      </w:pPr>
      <w:r>
        <w:rPr>
          <w:rFonts w:hint="eastAsia"/>
        </w:rPr>
        <w:t>交易申报</w:t>
      </w:r>
    </w:p>
    <w:p w:rsidR="00986419" w:rsidRPr="00986419" w:rsidRDefault="00986419" w:rsidP="009E5B91">
      <w:pPr>
        <w:pStyle w:val="affff6"/>
        <w:spacing w:line="24" w:lineRule="atLeast"/>
        <w:ind w:firstLine="420"/>
      </w:pPr>
      <w:r w:rsidRPr="00986419">
        <w:rPr>
          <w:rFonts w:hint="eastAsia"/>
        </w:rPr>
        <w:t>申报内容为执行日每小时</w:t>
      </w:r>
      <w:r>
        <w:rPr>
          <w:rFonts w:hint="eastAsia"/>
        </w:rPr>
        <w:t xml:space="preserve"> </w:t>
      </w:r>
      <w:r w:rsidRPr="00986419">
        <w:rPr>
          <w:rFonts w:hint="eastAsia"/>
        </w:rPr>
        <w:t>1</w:t>
      </w:r>
      <w:r>
        <w:rPr>
          <w:rFonts w:hint="eastAsia"/>
        </w:rPr>
        <w:t xml:space="preserve"> </w:t>
      </w:r>
      <w:r w:rsidRPr="00DF3DFB">
        <w:t>MW</w:t>
      </w:r>
      <w:r w:rsidR="00886F15" w:rsidRPr="00DF3DFB">
        <w:t>h</w:t>
      </w:r>
      <w:r w:rsidR="00886F15">
        <w:rPr>
          <w:rFonts w:hint="eastAsia"/>
        </w:rPr>
        <w:t xml:space="preserve"> </w:t>
      </w:r>
      <w:r w:rsidRPr="00986419">
        <w:rPr>
          <w:rFonts w:hint="eastAsia"/>
        </w:rPr>
        <w:t>为标准能量块、价格等信息，交易电量最小为</w:t>
      </w:r>
      <w:r>
        <w:rPr>
          <w:rFonts w:hint="eastAsia"/>
        </w:rPr>
        <w:t xml:space="preserve"> </w:t>
      </w:r>
      <w:r w:rsidRPr="00986419">
        <w:rPr>
          <w:rFonts w:hint="eastAsia"/>
        </w:rPr>
        <w:t>1</w:t>
      </w:r>
      <w:r w:rsidRPr="00986419">
        <w:t xml:space="preserve"> </w:t>
      </w:r>
      <w:r w:rsidRPr="00DF3DFB">
        <w:t>MW</w:t>
      </w:r>
      <w:r w:rsidR="00886F15" w:rsidRPr="00DF3DFB">
        <w:t>h</w:t>
      </w:r>
      <w:r w:rsidRPr="00986419">
        <w:rPr>
          <w:rFonts w:hint="eastAsia"/>
        </w:rPr>
        <w:t>。电力用户、售电公司、批发侧的发电企业均只能作为买方，进行购入交易。</w:t>
      </w:r>
    </w:p>
    <w:p w:rsidR="00A73728" w:rsidRDefault="00A73DCA" w:rsidP="009E5B91">
      <w:pPr>
        <w:pStyle w:val="affe"/>
        <w:spacing w:before="120" w:after="120" w:line="24" w:lineRule="atLeast"/>
      </w:pPr>
      <w:r>
        <w:t>交易方式</w:t>
      </w:r>
    </w:p>
    <w:p w:rsidR="000C0606" w:rsidRDefault="000C0606" w:rsidP="009E5B91">
      <w:pPr>
        <w:pStyle w:val="affffffff9"/>
        <w:spacing w:line="24" w:lineRule="atLeast"/>
      </w:pPr>
      <w:r>
        <w:rPr>
          <w:rFonts w:hint="eastAsia"/>
        </w:rPr>
        <w:t>采用双边协商或挂牌方式，定期开市</w:t>
      </w:r>
      <w:r w:rsidR="0041774D" w:rsidRPr="0041774D">
        <w:rPr>
          <w:rFonts w:hint="eastAsia"/>
        </w:rPr>
        <w:t>，市场主体通过电力交易平台，将购入或售出的能量块及价格等信息对外发布邀约，由符合资格要求的另一方提出接受该要约的申请</w:t>
      </w:r>
      <w:r>
        <w:rPr>
          <w:rFonts w:hint="eastAsia"/>
        </w:rPr>
        <w:t>。</w:t>
      </w:r>
    </w:p>
    <w:p w:rsidR="0041774D" w:rsidRDefault="0041774D" w:rsidP="009E5B91">
      <w:pPr>
        <w:pStyle w:val="affffffff9"/>
        <w:spacing w:line="24" w:lineRule="atLeast"/>
      </w:pPr>
      <w:r w:rsidRPr="0041774D">
        <w:rPr>
          <w:rFonts w:hint="eastAsia"/>
        </w:rPr>
        <w:t>市场主体经过滚动撮合方式参与时，需在规定起止时间内，随时提交购入或售出信息，电力交易平台按照时间优先、价格优先原则进行滚动撮合成交。</w:t>
      </w:r>
    </w:p>
    <w:p w:rsidR="00A73728" w:rsidRDefault="0041774D" w:rsidP="009E5B91">
      <w:pPr>
        <w:pStyle w:val="affffffff9"/>
        <w:spacing w:line="24" w:lineRule="atLeast"/>
      </w:pPr>
      <w:r w:rsidRPr="0041774D">
        <w:rPr>
          <w:rFonts w:hint="eastAsia"/>
        </w:rPr>
        <w:lastRenderedPageBreak/>
        <w:t>多日滚动撮合方式下，市场主体以执行日前</w:t>
      </w:r>
      <w:r>
        <w:rPr>
          <w:rFonts w:hint="eastAsia"/>
        </w:rPr>
        <w:t xml:space="preserve"> </w:t>
      </w:r>
      <w:r w:rsidRPr="0041774D">
        <w:rPr>
          <w:rFonts w:hint="eastAsia"/>
        </w:rPr>
        <w:t>5</w:t>
      </w:r>
      <w:r>
        <w:rPr>
          <w:rFonts w:hint="eastAsia"/>
        </w:rPr>
        <w:t xml:space="preserve"> d </w:t>
      </w:r>
      <w:r w:rsidRPr="0041774D">
        <w:rPr>
          <w:rFonts w:hint="eastAsia"/>
        </w:rPr>
        <w:t>至执行日前</w:t>
      </w:r>
      <w:r>
        <w:rPr>
          <w:rFonts w:hint="eastAsia"/>
        </w:rPr>
        <w:t xml:space="preserve"> </w:t>
      </w:r>
      <w:r w:rsidRPr="0041774D">
        <w:rPr>
          <w:rFonts w:hint="eastAsia"/>
        </w:rPr>
        <w:t>2</w:t>
      </w:r>
      <w:r>
        <w:rPr>
          <w:rFonts w:hint="eastAsia"/>
        </w:rPr>
        <w:t xml:space="preserve"> d </w:t>
      </w:r>
      <w:r w:rsidRPr="0041774D">
        <w:rPr>
          <w:rFonts w:hint="eastAsia"/>
        </w:rPr>
        <w:t>期间的工作日，开展执行日的交易。</w:t>
      </w:r>
    </w:p>
    <w:p w:rsidR="00A73728" w:rsidRDefault="00A73DCA" w:rsidP="009E5B91">
      <w:pPr>
        <w:pStyle w:val="affe"/>
        <w:spacing w:before="120" w:after="120" w:line="24" w:lineRule="atLeast"/>
      </w:pPr>
      <w:r>
        <w:t>结算规则</w:t>
      </w:r>
    </w:p>
    <w:p w:rsidR="00A73728" w:rsidRDefault="000C0606" w:rsidP="009E5B91">
      <w:pPr>
        <w:pStyle w:val="affff6"/>
        <w:spacing w:line="24" w:lineRule="atLeast"/>
        <w:ind w:firstLine="420"/>
      </w:pPr>
      <w:r w:rsidRPr="000C0606">
        <w:rPr>
          <w:rFonts w:hint="eastAsia"/>
        </w:rPr>
        <w:t>现货市场试运行期间或正式运行后，执行现货市场结算规则。</w:t>
      </w:r>
    </w:p>
    <w:p w:rsidR="00A73728" w:rsidRDefault="00132D0E" w:rsidP="009E5B91">
      <w:pPr>
        <w:pStyle w:val="affd"/>
        <w:spacing w:before="120" w:after="120" w:line="24" w:lineRule="atLeast"/>
      </w:pPr>
      <w:r w:rsidRPr="00132D0E">
        <w:rPr>
          <w:rFonts w:hint="eastAsia"/>
        </w:rPr>
        <w:t>分布式新能源的消纳交易体系</w:t>
      </w:r>
    </w:p>
    <w:p w:rsidR="00132D0E" w:rsidRDefault="00132D0E" w:rsidP="009E5B91">
      <w:pPr>
        <w:pStyle w:val="affe"/>
        <w:spacing w:before="120" w:after="120" w:line="24" w:lineRule="atLeast"/>
      </w:pPr>
      <w:r>
        <w:t>目的</w:t>
      </w:r>
    </w:p>
    <w:p w:rsidR="00132D0E" w:rsidRDefault="00132D0E" w:rsidP="009E5B91">
      <w:pPr>
        <w:pStyle w:val="affff6"/>
        <w:spacing w:line="24" w:lineRule="atLeast"/>
        <w:ind w:firstLine="420"/>
      </w:pPr>
      <w:r w:rsidRPr="00132D0E">
        <w:rPr>
          <w:rFonts w:hint="eastAsia"/>
        </w:rPr>
        <w:t>为促进分布式新能源的消纳，减少新能源弃电，建立分布式新能源消纳交易品种</w:t>
      </w:r>
      <w:r>
        <w:rPr>
          <w:rFonts w:hint="eastAsia"/>
        </w:rPr>
        <w:t>。</w:t>
      </w:r>
    </w:p>
    <w:p w:rsidR="00132D0E" w:rsidRDefault="00132D0E" w:rsidP="009E5B91">
      <w:pPr>
        <w:pStyle w:val="affe"/>
        <w:spacing w:before="120" w:after="120" w:line="24" w:lineRule="atLeast"/>
      </w:pPr>
      <w:r>
        <w:t>市场主体</w:t>
      </w:r>
    </w:p>
    <w:p w:rsidR="00132D0E" w:rsidRPr="002217B4" w:rsidRDefault="00132D0E" w:rsidP="009E5B91">
      <w:pPr>
        <w:pStyle w:val="affff6"/>
        <w:spacing w:line="24" w:lineRule="atLeast"/>
        <w:ind w:firstLine="420"/>
      </w:pPr>
      <w:r w:rsidRPr="00132D0E">
        <w:rPr>
          <w:rFonts w:hint="eastAsia"/>
        </w:rPr>
        <w:t>买方为分布式新能源，卖方为用户和储能。</w:t>
      </w:r>
    </w:p>
    <w:p w:rsidR="00132D0E" w:rsidRDefault="00132D0E" w:rsidP="009E5B91">
      <w:pPr>
        <w:pStyle w:val="affe"/>
        <w:spacing w:before="120" w:after="120" w:line="24" w:lineRule="atLeast"/>
      </w:pPr>
      <w:r>
        <w:t>交易周期</w:t>
      </w:r>
    </w:p>
    <w:p w:rsidR="00132D0E" w:rsidRDefault="00132D0E" w:rsidP="009E5B91">
      <w:pPr>
        <w:pStyle w:val="affff6"/>
        <w:spacing w:line="24" w:lineRule="atLeast"/>
        <w:ind w:firstLine="420"/>
      </w:pPr>
      <w:r w:rsidRPr="00132D0E">
        <w:rPr>
          <w:rFonts w:hint="eastAsia"/>
        </w:rPr>
        <w:t>根据分布式新能源的消纳情况适时组织开展日前邀约交易。</w:t>
      </w:r>
    </w:p>
    <w:p w:rsidR="00132D0E" w:rsidRDefault="00132D0E" w:rsidP="009E5B91">
      <w:pPr>
        <w:pStyle w:val="affe"/>
        <w:spacing w:before="120" w:after="120" w:line="24" w:lineRule="atLeast"/>
      </w:pPr>
      <w:r>
        <w:t>交易方式</w:t>
      </w:r>
    </w:p>
    <w:p w:rsidR="00132D0E" w:rsidRDefault="00132D0E" w:rsidP="009E5B91">
      <w:pPr>
        <w:pStyle w:val="affff6"/>
        <w:spacing w:line="24" w:lineRule="atLeast"/>
        <w:ind w:firstLine="420"/>
      </w:pPr>
      <w:r w:rsidRPr="00132D0E">
        <w:rPr>
          <w:rFonts w:hint="eastAsia"/>
        </w:rPr>
        <w:t>平台动态评估消纳能力，向同一台区用户与储能发布动态邀约，价格由分布式新能源提出（通常低于标杆电价）。</w:t>
      </w:r>
    </w:p>
    <w:p w:rsidR="00132D0E" w:rsidRDefault="00132D0E" w:rsidP="009E5B91">
      <w:pPr>
        <w:pStyle w:val="affe"/>
        <w:spacing w:before="120" w:after="120" w:line="24" w:lineRule="atLeast"/>
      </w:pPr>
      <w:r>
        <w:t>结算规则</w:t>
      </w:r>
    </w:p>
    <w:p w:rsidR="00132D0E" w:rsidRDefault="00132D0E" w:rsidP="009E5B91">
      <w:pPr>
        <w:pStyle w:val="affffffff9"/>
        <w:spacing w:line="24" w:lineRule="atLeast"/>
      </w:pPr>
      <w:r>
        <w:rPr>
          <w:rFonts w:hint="eastAsia"/>
        </w:rPr>
        <w:t>正常上网电量按标杆电价或协议电价结算。</w:t>
      </w:r>
    </w:p>
    <w:p w:rsidR="00A73728" w:rsidRDefault="00132D0E" w:rsidP="009E5B91">
      <w:pPr>
        <w:pStyle w:val="affffffff9"/>
        <w:spacing w:line="24" w:lineRule="atLeast"/>
      </w:pPr>
      <w:r>
        <w:rPr>
          <w:rFonts w:hint="eastAsia"/>
        </w:rPr>
        <w:t>邀约增加的消纳电量按邀约价格结算；用户与储能响应部分按邀约价格结算。</w:t>
      </w:r>
    </w:p>
    <w:p w:rsidR="003343EE" w:rsidRDefault="003343EE" w:rsidP="009E5B91">
      <w:pPr>
        <w:pStyle w:val="affc"/>
        <w:spacing w:before="240" w:after="240" w:line="24" w:lineRule="atLeast"/>
      </w:pPr>
      <w:bookmarkStart w:id="107" w:name="_Toc204852689"/>
      <w:r>
        <w:rPr>
          <w:rFonts w:hint="eastAsia"/>
        </w:rPr>
        <w:t>收益保障</w:t>
      </w:r>
      <w:bookmarkEnd w:id="107"/>
    </w:p>
    <w:p w:rsidR="003343EE" w:rsidRDefault="003343EE" w:rsidP="009E5B91">
      <w:pPr>
        <w:pStyle w:val="affd"/>
        <w:spacing w:before="120" w:after="120" w:line="24" w:lineRule="atLeast"/>
      </w:pPr>
      <w:r>
        <w:rPr>
          <w:rFonts w:hint="eastAsia"/>
        </w:rPr>
        <w:t>政府授权合约机制</w:t>
      </w:r>
    </w:p>
    <w:p w:rsidR="003343EE" w:rsidRPr="003343EE" w:rsidRDefault="003343EE" w:rsidP="009E5B91">
      <w:pPr>
        <w:pStyle w:val="affffffffa"/>
        <w:spacing w:line="24" w:lineRule="atLeast"/>
      </w:pPr>
      <w:r w:rsidRPr="003343EE">
        <w:rPr>
          <w:rFonts w:hint="eastAsia"/>
        </w:rPr>
        <w:t>政府根据分布式新能源项目的平均经济技术水平、合理收益，考虑用户侧承受能力，确定分项目类型、建设时间的分布式发电项目类型整体合理电价（称政府授权合约目标电价）。</w:t>
      </w:r>
    </w:p>
    <w:p w:rsidR="003343EE" w:rsidRPr="003343EE" w:rsidRDefault="003343EE" w:rsidP="009E5B91">
      <w:pPr>
        <w:pStyle w:val="affffffffa"/>
        <w:spacing w:line="24" w:lineRule="atLeast"/>
      </w:pPr>
      <w:r w:rsidRPr="003343EE">
        <w:rPr>
          <w:rFonts w:hint="eastAsia"/>
        </w:rPr>
        <w:t>在年度交易前，由政府出台本年度政府授权合约相关规则，主要包括分项目类型、建设时间的政府授权合约目标电价。</w:t>
      </w:r>
    </w:p>
    <w:p w:rsidR="003343EE" w:rsidRPr="003343EE" w:rsidRDefault="003343EE" w:rsidP="009E5B91">
      <w:pPr>
        <w:pStyle w:val="affffffffa"/>
        <w:spacing w:line="24" w:lineRule="atLeast"/>
      </w:pPr>
      <w:r w:rsidRPr="003343EE">
        <w:rPr>
          <w:rFonts w:hint="eastAsia"/>
        </w:rPr>
        <w:t>根据政府授权合约对该类型分布式新能源项目的市场化电量补偿平均结算电价与目标电价差值部分（即政府授权合约目标电价－平均结算电价，可为负值）。</w:t>
      </w:r>
    </w:p>
    <w:p w:rsidR="003343EE" w:rsidRDefault="003343EE" w:rsidP="009E5B91">
      <w:pPr>
        <w:pStyle w:val="affffffffa"/>
        <w:spacing w:line="24" w:lineRule="atLeast"/>
      </w:pPr>
      <w:r w:rsidRPr="003343EE">
        <w:rPr>
          <w:rFonts w:hint="eastAsia"/>
        </w:rPr>
        <w:t>结算时，分布式新能源根据交易电量、交易价格等信息，按照市场交易规则有关规定进行结算。分布式新能源的结算费用=市场化结算费用+政府授权合约差价费用。</w:t>
      </w:r>
    </w:p>
    <w:p w:rsidR="003343EE" w:rsidRDefault="003343EE" w:rsidP="009E5B91">
      <w:pPr>
        <w:pStyle w:val="affffffffa"/>
        <w:spacing w:line="24" w:lineRule="atLeast"/>
      </w:pPr>
      <w:r>
        <w:rPr>
          <w:rFonts w:hint="eastAsia"/>
        </w:rPr>
        <w:t>损益由全体市场化用户分摊或分享。</w:t>
      </w:r>
    </w:p>
    <w:p w:rsidR="003343EE" w:rsidRDefault="003343EE" w:rsidP="009E5B91">
      <w:pPr>
        <w:pStyle w:val="affd"/>
        <w:spacing w:before="120" w:after="120" w:line="24" w:lineRule="atLeast"/>
      </w:pPr>
      <w:r>
        <w:rPr>
          <w:rFonts w:hint="eastAsia"/>
        </w:rPr>
        <w:t>成本疏导</w:t>
      </w:r>
    </w:p>
    <w:p w:rsidR="003343EE" w:rsidRDefault="003343EE" w:rsidP="009E5B91">
      <w:pPr>
        <w:pStyle w:val="affffffffa"/>
        <w:spacing w:line="24" w:lineRule="atLeast"/>
      </w:pPr>
      <w:r>
        <w:rPr>
          <w:rFonts w:hint="eastAsia"/>
        </w:rPr>
        <w:t>分布式新能源参与市场产生的偏差结算费用、辅助服务费用，按“谁受益、谁承担”原则疏导。</w:t>
      </w:r>
    </w:p>
    <w:p w:rsidR="00567632" w:rsidRDefault="003343EE" w:rsidP="009E5B91">
      <w:pPr>
        <w:pStyle w:val="affffffffa"/>
        <w:spacing w:line="24" w:lineRule="atLeast"/>
      </w:pPr>
      <w:r>
        <w:rPr>
          <w:rFonts w:hint="eastAsia"/>
        </w:rPr>
        <w:t>鼓励通过绿电交易、碳交易等方式提升项目收益。</w:t>
      </w:r>
    </w:p>
    <w:p w:rsidR="00567632" w:rsidRDefault="003343EE" w:rsidP="009E5B91">
      <w:pPr>
        <w:pStyle w:val="affc"/>
        <w:spacing w:before="240" w:after="240" w:line="24" w:lineRule="atLeast"/>
      </w:pPr>
      <w:bookmarkStart w:id="108" w:name="_Toc204852690"/>
      <w:r>
        <w:t>结算与监管</w:t>
      </w:r>
      <w:bookmarkEnd w:id="108"/>
    </w:p>
    <w:p w:rsidR="003343EE" w:rsidRDefault="003343EE" w:rsidP="009E5B91">
      <w:pPr>
        <w:pStyle w:val="affd"/>
        <w:spacing w:before="120" w:after="120" w:line="24" w:lineRule="atLeast"/>
      </w:pPr>
      <w:r>
        <w:rPr>
          <w:rFonts w:hint="eastAsia"/>
        </w:rPr>
        <w:t>结算机制</w:t>
      </w:r>
    </w:p>
    <w:p w:rsidR="003343EE" w:rsidRDefault="003343EE" w:rsidP="009E5B91">
      <w:pPr>
        <w:pStyle w:val="affffffffa"/>
        <w:spacing w:line="24" w:lineRule="atLeast"/>
      </w:pPr>
      <w:r>
        <w:rPr>
          <w:rFonts w:hint="eastAsia"/>
        </w:rPr>
        <w:t>分布式新能源与聚合商按 “分别结算” 原则执行，电量单独计量。</w:t>
      </w:r>
    </w:p>
    <w:p w:rsidR="003343EE" w:rsidRDefault="003343EE" w:rsidP="009E5B91">
      <w:pPr>
        <w:pStyle w:val="affffffffa"/>
        <w:spacing w:line="24" w:lineRule="atLeast"/>
      </w:pPr>
      <w:r>
        <w:rPr>
          <w:rFonts w:hint="eastAsia"/>
        </w:rPr>
        <w:t>现货市场中，实时偏差按实时统一结算点电价计算电费；非现货市场中，按中长期偏差考核规则处理。</w:t>
      </w:r>
    </w:p>
    <w:p w:rsidR="003343EE" w:rsidRPr="003343EE" w:rsidRDefault="003343EE" w:rsidP="009E5B91">
      <w:pPr>
        <w:pStyle w:val="affffffffa"/>
        <w:spacing w:line="24" w:lineRule="atLeast"/>
      </w:pPr>
      <w:r w:rsidRPr="003343EE">
        <w:rPr>
          <w:rFonts w:hint="eastAsia"/>
        </w:rPr>
        <w:t>建设分布式交易模拟仿真系统，实现交易流程推演、结果验证。</w:t>
      </w:r>
    </w:p>
    <w:p w:rsidR="003343EE" w:rsidRDefault="003343EE" w:rsidP="009E5B91">
      <w:pPr>
        <w:pStyle w:val="affffffffa"/>
        <w:spacing w:line="24" w:lineRule="atLeast"/>
      </w:pPr>
      <w:r w:rsidRPr="003343EE">
        <w:rPr>
          <w:rFonts w:hint="eastAsia"/>
        </w:rPr>
        <w:t>完善计量、通信基础设施，确保数据实时采集与传输。</w:t>
      </w:r>
    </w:p>
    <w:p w:rsidR="003343EE" w:rsidRDefault="003343EE" w:rsidP="009E5B91">
      <w:pPr>
        <w:pStyle w:val="affd"/>
        <w:spacing w:before="120" w:after="120" w:line="24" w:lineRule="atLeast"/>
      </w:pPr>
      <w:r>
        <w:rPr>
          <w:rFonts w:hint="eastAsia"/>
        </w:rPr>
        <w:lastRenderedPageBreak/>
        <w:t>监管措施</w:t>
      </w:r>
    </w:p>
    <w:p w:rsidR="003343EE" w:rsidRDefault="003343EE" w:rsidP="009E5B91">
      <w:pPr>
        <w:pStyle w:val="affffffffa"/>
        <w:spacing w:line="24" w:lineRule="atLeast"/>
      </w:pPr>
      <w:r>
        <w:rPr>
          <w:rFonts w:hint="eastAsia"/>
        </w:rPr>
        <w:t>建立联席会议机制，由贵州能监办牵头协调市场运行重大问题。</w:t>
      </w:r>
    </w:p>
    <w:p w:rsidR="003343EE" w:rsidRPr="003343EE" w:rsidRDefault="003343EE" w:rsidP="009E5B91">
      <w:pPr>
        <w:pStyle w:val="affffffffa"/>
        <w:spacing w:line="24" w:lineRule="atLeast"/>
      </w:pPr>
      <w:r>
        <w:rPr>
          <w:rFonts w:hint="eastAsia"/>
        </w:rPr>
        <w:t>对安全管控、调度运行、市场交易、信息披露等实施全过程监管，确保市场规范运行。</w:t>
      </w:r>
    </w:p>
    <w:p w:rsidR="003343EE" w:rsidRDefault="003343EE" w:rsidP="009E5B91">
      <w:pPr>
        <w:pStyle w:val="affffffffa"/>
        <w:spacing w:line="24" w:lineRule="atLeast"/>
      </w:pPr>
      <w:r>
        <w:rPr>
          <w:rFonts w:hint="eastAsia"/>
        </w:rPr>
        <w:t>加强市场行为监管，对违约主体实施经济处罚或市场禁入。</w:t>
      </w:r>
    </w:p>
    <w:p w:rsidR="00567632" w:rsidRDefault="003343EE" w:rsidP="009E5B91">
      <w:pPr>
        <w:pStyle w:val="affffffffa"/>
        <w:spacing w:line="24" w:lineRule="atLeast"/>
      </w:pPr>
      <w:r>
        <w:rPr>
          <w:rFonts w:hint="eastAsia"/>
        </w:rPr>
        <w:t>开展政策宣贯培训，引导市场主体熟悉交易规则</w:t>
      </w:r>
    </w:p>
    <w:p w:rsidR="00567632" w:rsidRDefault="00567632" w:rsidP="006A0804">
      <w:pPr>
        <w:pStyle w:val="affff6"/>
        <w:ind w:firstLine="420"/>
      </w:pPr>
    </w:p>
    <w:p w:rsidR="002E6B80" w:rsidRDefault="002E6B80" w:rsidP="00276CDF">
      <w:pPr>
        <w:pStyle w:val="affff6"/>
        <w:ind w:firstLine="420"/>
      </w:pPr>
    </w:p>
    <w:p w:rsidR="00210A44" w:rsidRDefault="00210A44" w:rsidP="00210A44">
      <w:pPr>
        <w:pStyle w:val="affff6"/>
        <w:ind w:firstLineChars="0" w:firstLine="0"/>
        <w:jc w:val="center"/>
      </w:pPr>
      <w:bookmarkStart w:id="109" w:name="BookMark8"/>
      <w:bookmarkEnd w:id="36"/>
      <w:r>
        <w:drawing>
          <wp:inline distT="0" distB="0" distL="0" distR="0" wp14:anchorId="0B19E8A6" wp14:editId="7BFEF1B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09"/>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5E" w:rsidRDefault="0091265E" w:rsidP="00D86DB7">
      <w:r>
        <w:separator/>
      </w:r>
    </w:p>
    <w:p w:rsidR="0091265E" w:rsidRDefault="0091265E"/>
    <w:p w:rsidR="0091265E" w:rsidRDefault="0091265E"/>
  </w:endnote>
  <w:endnote w:type="continuationSeparator" w:id="0">
    <w:p w:rsidR="0091265E" w:rsidRDefault="0091265E" w:rsidP="00D86DB7">
      <w:r>
        <w:continuationSeparator/>
      </w:r>
    </w:p>
    <w:p w:rsidR="0091265E" w:rsidRDefault="0091265E"/>
    <w:p w:rsidR="0091265E" w:rsidRDefault="00912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91" w:rsidRDefault="009E5B91">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C94DF2">
    <w:pPr>
      <w:pStyle w:val="affff3"/>
    </w:pPr>
    <w:r>
      <w:fldChar w:fldCharType="begin"/>
    </w:r>
    <w:r>
      <w:instrText>PAGE   \* MERGEFORMAT</w:instrText>
    </w:r>
    <w:r>
      <w:fldChar w:fldCharType="separate"/>
    </w:r>
    <w:r w:rsidR="002A6CAC" w:rsidRPr="002A6CAC">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5E" w:rsidRDefault="0091265E" w:rsidP="00D86DB7">
      <w:r>
        <w:separator/>
      </w:r>
    </w:p>
  </w:footnote>
  <w:footnote w:type="continuationSeparator" w:id="0">
    <w:p w:rsidR="0091265E" w:rsidRDefault="0091265E" w:rsidP="00D86DB7">
      <w:r>
        <w:continuationSeparator/>
      </w:r>
    </w:p>
    <w:p w:rsidR="0091265E" w:rsidRDefault="0091265E"/>
    <w:p w:rsidR="0091265E" w:rsidRDefault="009126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91" w:rsidRDefault="009E5B91">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A6CAC">
      <w:rPr>
        <w:noProof/>
      </w:rPr>
      <w:t>T/CS 229—2025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A2271D">
    <w:pPr>
      <w:pStyle w:val="affffb"/>
    </w:pPr>
    <w:r>
      <w:fldChar w:fldCharType="begin"/>
    </w:r>
    <w:r>
      <w:instrText xml:space="preserve"> STYLEREF  标准文件_文件编号  \* MERGEFORMAT </w:instrText>
    </w:r>
    <w:r>
      <w:fldChar w:fldCharType="separate"/>
    </w:r>
    <w:r w:rsidR="002A6CAC">
      <w:t>T/CS 229</w:t>
    </w:r>
    <w:r w:rsidR="002A6CAC">
      <w:t>—</w:t>
    </w:r>
    <w:r w:rsidR="002A6CAC">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CFCED1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8"/>
  </w:num>
  <w:num w:numId="8">
    <w:abstractNumId w:val="9"/>
  </w:num>
  <w:num w:numId="9">
    <w:abstractNumId w:val="18"/>
  </w:num>
  <w:num w:numId="10">
    <w:abstractNumId w:val="27"/>
  </w:num>
  <w:num w:numId="11">
    <w:abstractNumId w:val="4"/>
  </w:num>
  <w:num w:numId="12">
    <w:abstractNumId w:val="16"/>
  </w:num>
  <w:num w:numId="13">
    <w:abstractNumId w:val="28"/>
  </w:num>
  <w:num w:numId="14">
    <w:abstractNumId w:val="11"/>
  </w:num>
  <w:num w:numId="15">
    <w:abstractNumId w:val="6"/>
  </w:num>
  <w:num w:numId="16">
    <w:abstractNumId w:val="10"/>
  </w:num>
  <w:num w:numId="17">
    <w:abstractNumId w:val="25"/>
  </w:num>
  <w:num w:numId="18">
    <w:abstractNumId w:val="3"/>
  </w:num>
  <w:num w:numId="19">
    <w:abstractNumId w:val="7"/>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Full" w:cryptAlgorithmClass="hash" w:cryptAlgorithmType="typeAny" w:cryptAlgorithmSid="4" w:cryptSpinCount="100000" w:hash="Nc22ySWKoeLTGTq0aNNX8aR4swA=" w:salt="6PUwsUTBuqx4vnuVdzfU7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595E"/>
    <w:rsid w:val="00026420"/>
    <w:rsid w:val="000303C3"/>
    <w:rsid w:val="0003180F"/>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3D2C"/>
    <w:rsid w:val="000841C2"/>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60B7"/>
    <w:rsid w:val="001265CB"/>
    <w:rsid w:val="001321C6"/>
    <w:rsid w:val="001325C4"/>
    <w:rsid w:val="00132D0E"/>
    <w:rsid w:val="00133010"/>
    <w:rsid w:val="001338EE"/>
    <w:rsid w:val="00133AAE"/>
    <w:rsid w:val="00135323"/>
    <w:rsid w:val="001356C4"/>
    <w:rsid w:val="00137565"/>
    <w:rsid w:val="00140C8B"/>
    <w:rsid w:val="00141114"/>
    <w:rsid w:val="0014193E"/>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6CAC"/>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22"/>
    <w:rsid w:val="003A3D9C"/>
    <w:rsid w:val="003A4077"/>
    <w:rsid w:val="003A4AA7"/>
    <w:rsid w:val="003A5513"/>
    <w:rsid w:val="003B09AD"/>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841"/>
    <w:rsid w:val="003F23D3"/>
    <w:rsid w:val="003F3F08"/>
    <w:rsid w:val="003F49F1"/>
    <w:rsid w:val="003F6272"/>
    <w:rsid w:val="00400AC9"/>
    <w:rsid w:val="00400E72"/>
    <w:rsid w:val="00401400"/>
    <w:rsid w:val="00404869"/>
    <w:rsid w:val="00405884"/>
    <w:rsid w:val="00407D39"/>
    <w:rsid w:val="00411295"/>
    <w:rsid w:val="0041477A"/>
    <w:rsid w:val="004167A3"/>
    <w:rsid w:val="0041774D"/>
    <w:rsid w:val="00432DAA"/>
    <w:rsid w:val="00434305"/>
    <w:rsid w:val="00435DF7"/>
    <w:rsid w:val="0043741A"/>
    <w:rsid w:val="00437F34"/>
    <w:rsid w:val="0044083F"/>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3034"/>
    <w:rsid w:val="00804383"/>
    <w:rsid w:val="00804BB7"/>
    <w:rsid w:val="00804D41"/>
    <w:rsid w:val="00810126"/>
    <w:rsid w:val="00810257"/>
    <w:rsid w:val="008104F5"/>
    <w:rsid w:val="00811072"/>
    <w:rsid w:val="00811369"/>
    <w:rsid w:val="0081188B"/>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3F93"/>
    <w:rsid w:val="00884D30"/>
    <w:rsid w:val="00884DB3"/>
    <w:rsid w:val="00885A9D"/>
    <w:rsid w:val="00885AEF"/>
    <w:rsid w:val="008864F6"/>
    <w:rsid w:val="00886F15"/>
    <w:rsid w:val="0089049D"/>
    <w:rsid w:val="008917FC"/>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265E"/>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5E04"/>
    <w:rsid w:val="009674AD"/>
    <w:rsid w:val="00970CDC"/>
    <w:rsid w:val="00970DD9"/>
    <w:rsid w:val="009722A7"/>
    <w:rsid w:val="00975727"/>
    <w:rsid w:val="0097647E"/>
    <w:rsid w:val="0097670F"/>
    <w:rsid w:val="00977010"/>
    <w:rsid w:val="00977D02"/>
    <w:rsid w:val="00977FF9"/>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30F"/>
    <w:rsid w:val="00A41AF9"/>
    <w:rsid w:val="00A41C79"/>
    <w:rsid w:val="00A41CB5"/>
    <w:rsid w:val="00A42CDF"/>
    <w:rsid w:val="00A4452E"/>
    <w:rsid w:val="00A4472C"/>
    <w:rsid w:val="00A44E69"/>
    <w:rsid w:val="00A4661E"/>
    <w:rsid w:val="00A46E4D"/>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61F1"/>
    <w:rsid w:val="00B265BC"/>
    <w:rsid w:val="00B31FB1"/>
    <w:rsid w:val="00B33952"/>
    <w:rsid w:val="00B33C5E"/>
    <w:rsid w:val="00B342F4"/>
    <w:rsid w:val="00B34369"/>
    <w:rsid w:val="00B3481A"/>
    <w:rsid w:val="00B34DC2"/>
    <w:rsid w:val="00B35064"/>
    <w:rsid w:val="00B35836"/>
    <w:rsid w:val="00B378E5"/>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DF"/>
    <w:rsid w:val="00C44BF5"/>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2834"/>
    <w:rsid w:val="00D93030"/>
    <w:rsid w:val="00D94E08"/>
    <w:rsid w:val="00D950E1"/>
    <w:rsid w:val="00D952A6"/>
    <w:rsid w:val="00D96BA5"/>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5417"/>
    <w:rsid w:val="00F06D37"/>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194E"/>
    <w:rsid w:val="00F623AC"/>
    <w:rsid w:val="00F6412A"/>
    <w:rsid w:val="00F65893"/>
    <w:rsid w:val="00F664B5"/>
    <w:rsid w:val="00F66A4A"/>
    <w:rsid w:val="00F71E22"/>
    <w:rsid w:val="00F72142"/>
    <w:rsid w:val="00F72AE7"/>
    <w:rsid w:val="00F80209"/>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36B0B"/>
    <w:rsid w:val="00183127"/>
    <w:rsid w:val="00210078"/>
    <w:rsid w:val="00252CBB"/>
    <w:rsid w:val="002F58F9"/>
    <w:rsid w:val="003745EC"/>
    <w:rsid w:val="004E4AB8"/>
    <w:rsid w:val="005C1DCE"/>
    <w:rsid w:val="005D62B9"/>
    <w:rsid w:val="005E163C"/>
    <w:rsid w:val="00646BB6"/>
    <w:rsid w:val="00655B78"/>
    <w:rsid w:val="006708C0"/>
    <w:rsid w:val="006F13C6"/>
    <w:rsid w:val="006F5279"/>
    <w:rsid w:val="006F5B1C"/>
    <w:rsid w:val="007C6139"/>
    <w:rsid w:val="008718E7"/>
    <w:rsid w:val="008B4C2A"/>
    <w:rsid w:val="0094476D"/>
    <w:rsid w:val="00995244"/>
    <w:rsid w:val="009A73EA"/>
    <w:rsid w:val="00B048FA"/>
    <w:rsid w:val="00B56580"/>
    <w:rsid w:val="00C32696"/>
    <w:rsid w:val="00C43C8D"/>
    <w:rsid w:val="00DA7717"/>
    <w:rsid w:val="00E21175"/>
    <w:rsid w:val="00EB2D08"/>
    <w:rsid w:val="00EC2C4F"/>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176C-7F7D-470E-A6A7-716A2D18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5115</TotalTime>
  <Pages>7</Pages>
  <Words>620</Words>
  <Characters>3537</Characters>
  <Application>Microsoft Office Word</Application>
  <DocSecurity>0</DocSecurity>
  <Lines>29</Lines>
  <Paragraphs>8</Paragraphs>
  <ScaleCrop>false</ScaleCrop>
  <Company>PCMI</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21</cp:revision>
  <cp:lastPrinted>2025-08-19T06:26:00Z</cp:lastPrinted>
  <dcterms:created xsi:type="dcterms:W3CDTF">2024-12-23T01:40:00Z</dcterms:created>
  <dcterms:modified xsi:type="dcterms:W3CDTF">2025-08-19T06:26:00Z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