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E2030">
        <w:tc>
          <w:tcPr>
            <w:tcW w:w="509" w:type="dxa"/>
          </w:tcPr>
          <w:p w:rsidR="008E2030" w:rsidRDefault="00722927">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8E2030" w:rsidRDefault="00722927">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43.020</w:t>
            </w:r>
            <w:r>
              <w:rPr>
                <w:rFonts w:ascii="黑体" w:eastAsia="黑体" w:hAnsi="黑体"/>
                <w:sz w:val="21"/>
                <w:szCs w:val="21"/>
              </w:rPr>
              <w:fldChar w:fldCharType="end"/>
            </w:r>
            <w:bookmarkEnd w:id="0"/>
          </w:p>
        </w:tc>
      </w:tr>
      <w:tr w:rsidR="008E2030">
        <w:tc>
          <w:tcPr>
            <w:tcW w:w="509" w:type="dxa"/>
          </w:tcPr>
          <w:p w:rsidR="008E2030" w:rsidRDefault="0072292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E2030">
              <w:trPr>
                <w:trHeight w:hRule="exact" w:val="1021"/>
              </w:trPr>
              <w:tc>
                <w:tcPr>
                  <w:tcW w:w="9242" w:type="dxa"/>
                  <w:vAlign w:val="center"/>
                </w:tcPr>
                <w:p w:rsidR="008E2030" w:rsidRDefault="00722927" w:rsidP="00BC3358">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CS</w:t>
                  </w:r>
                  <w:r>
                    <w:fldChar w:fldCharType="end"/>
                  </w:r>
                  <w:bookmarkEnd w:id="1"/>
                </w:p>
              </w:tc>
            </w:tr>
          </w:tbl>
          <w:p w:rsidR="008E2030" w:rsidRDefault="0072292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T 47</w:t>
            </w:r>
            <w:r>
              <w:rPr>
                <w:rFonts w:ascii="黑体" w:eastAsia="黑体" w:hAnsi="黑体"/>
                <w:sz w:val="21"/>
                <w:szCs w:val="21"/>
              </w:rPr>
              <w:fldChar w:fldCharType="end"/>
            </w:r>
            <w:bookmarkEnd w:id="2"/>
          </w:p>
        </w:tc>
      </w:tr>
    </w:tbl>
    <w:p w:rsidR="008E2030" w:rsidRDefault="00722927">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8E2030" w:rsidRDefault="00722927">
      <w:pPr>
        <w:pStyle w:val="a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8E2030" w:rsidRDefault="00722927">
      <w:pPr>
        <w:pStyle w:val="afffffffffc"/>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8E2030" w:rsidRDefault="00722927">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8E2030" w:rsidRDefault="008E2030">
      <w:pPr>
        <w:pStyle w:val="affff9"/>
        <w:framePr w:w="9639" w:h="6976" w:hRule="exact" w:hSpace="0" w:vSpace="0" w:wrap="around" w:hAnchor="page" w:y="6408"/>
        <w:jc w:val="center"/>
        <w:rPr>
          <w:rFonts w:ascii="黑体" w:eastAsia="黑体" w:hAnsi="黑体"/>
          <w:b w:val="0"/>
          <w:bCs w:val="0"/>
          <w:w w:val="100"/>
        </w:rPr>
      </w:pPr>
    </w:p>
    <w:p w:rsidR="008E2030" w:rsidRDefault="00722927">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智能</w:t>
      </w:r>
      <w:r>
        <w:t>充电站建设与管理规范</w:t>
      </w:r>
      <w:r>
        <w:fldChar w:fldCharType="end"/>
      </w:r>
      <w:bookmarkEnd w:id="8"/>
    </w:p>
    <w:p w:rsidR="008E2030" w:rsidRDefault="008E2030">
      <w:pPr>
        <w:framePr w:w="9639" w:h="6974" w:hRule="exact" w:wrap="around" w:vAnchor="page" w:hAnchor="page" w:x="1419" w:y="6408" w:anchorLock="1"/>
        <w:ind w:left="-1418"/>
      </w:pPr>
    </w:p>
    <w:p w:rsidR="008E2030" w:rsidRDefault="00722927">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Construction and </w:t>
      </w:r>
      <w:r>
        <w:rPr>
          <w:rFonts w:eastAsia="黑体" w:hint="eastAsia"/>
          <w:szCs w:val="28"/>
        </w:rPr>
        <w:t>m</w:t>
      </w:r>
      <w:r>
        <w:rPr>
          <w:rFonts w:eastAsia="黑体"/>
          <w:szCs w:val="28"/>
        </w:rPr>
        <w:t xml:space="preserve">anagement </w:t>
      </w:r>
      <w:r>
        <w:rPr>
          <w:rFonts w:eastAsia="黑体" w:hint="eastAsia"/>
          <w:szCs w:val="28"/>
        </w:rPr>
        <w:t>s</w:t>
      </w:r>
      <w:r>
        <w:rPr>
          <w:rFonts w:eastAsia="黑体"/>
          <w:szCs w:val="28"/>
        </w:rPr>
        <w:t xml:space="preserve">pecifications for </w:t>
      </w:r>
      <w:r>
        <w:rPr>
          <w:rFonts w:eastAsia="黑体" w:hint="eastAsia"/>
          <w:szCs w:val="28"/>
        </w:rPr>
        <w:t>i</w:t>
      </w:r>
      <w:r>
        <w:rPr>
          <w:rFonts w:eastAsia="黑体"/>
          <w:szCs w:val="28"/>
        </w:rPr>
        <w:t xml:space="preserve">ntelligent </w:t>
      </w:r>
      <w:r>
        <w:rPr>
          <w:rFonts w:eastAsia="黑体" w:hint="eastAsia"/>
          <w:szCs w:val="28"/>
        </w:rPr>
        <w:t>c</w:t>
      </w:r>
      <w:r>
        <w:rPr>
          <w:rFonts w:eastAsia="黑体"/>
          <w:szCs w:val="28"/>
        </w:rPr>
        <w:t xml:space="preserve">harging </w:t>
      </w:r>
      <w:r>
        <w:rPr>
          <w:rFonts w:eastAsia="黑体" w:hint="eastAsia"/>
          <w:szCs w:val="28"/>
        </w:rPr>
        <w:t>s</w:t>
      </w:r>
      <w:r>
        <w:rPr>
          <w:rFonts w:eastAsia="黑体"/>
          <w:szCs w:val="28"/>
        </w:rPr>
        <w:t>tation</w:t>
      </w:r>
      <w:r>
        <w:rPr>
          <w:rFonts w:eastAsia="黑体"/>
          <w:szCs w:val="28"/>
        </w:rPr>
        <w:fldChar w:fldCharType="end"/>
      </w:r>
      <w:bookmarkEnd w:id="9"/>
    </w:p>
    <w:p w:rsidR="008E2030" w:rsidRDefault="008E2030">
      <w:pPr>
        <w:framePr w:w="9639" w:h="6974" w:hRule="exact" w:wrap="around" w:vAnchor="page" w:hAnchor="page" w:x="1419" w:y="6408" w:anchorLock="1"/>
        <w:spacing w:line="760" w:lineRule="exact"/>
        <w:ind w:left="-1418"/>
      </w:pPr>
    </w:p>
    <w:p w:rsidR="008E2030" w:rsidRDefault="008E2030">
      <w:pPr>
        <w:pStyle w:val="afffffff1"/>
        <w:framePr w:w="9639" w:h="6974" w:hRule="exact" w:wrap="around" w:vAnchor="page" w:hAnchor="page" w:x="1419" w:y="6408" w:anchorLock="1"/>
        <w:textAlignment w:val="bottom"/>
        <w:rPr>
          <w:rFonts w:eastAsia="黑体"/>
          <w:szCs w:val="28"/>
        </w:rPr>
      </w:pPr>
    </w:p>
    <w:bookmarkStart w:id="10" w:name="_GoBack"/>
    <w:p w:rsidR="008E2030" w:rsidRDefault="00722927">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BC3358">
        <w:rPr>
          <w:sz w:val="24"/>
          <w:szCs w:val="28"/>
        </w:rPr>
      </w:r>
      <w:r>
        <w:rPr>
          <w:sz w:val="24"/>
          <w:szCs w:val="28"/>
        </w:rPr>
        <w:fldChar w:fldCharType="end"/>
      </w:r>
      <w:bookmarkEnd w:id="11"/>
      <w:bookmarkEnd w:id="10"/>
    </w:p>
    <w:p w:rsidR="008E2030" w:rsidRDefault="00722927">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8E2030" w:rsidRDefault="00722927">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8E2030" w:rsidRDefault="00722927">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8E2030" w:rsidRDefault="00722927">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8E2030" w:rsidRDefault="00722927">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中国商品学会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8E2030" w:rsidRDefault="00722927">
      <w:pPr>
        <w:rPr>
          <w:rFonts w:ascii="宋体" w:hAnsi="宋体"/>
          <w:sz w:val="28"/>
          <w:szCs w:val="28"/>
        </w:rPr>
        <w:sectPr w:rsidR="008E203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8E2030" w:rsidRDefault="00722927">
      <w:pPr>
        <w:pStyle w:val="affffff3"/>
        <w:spacing w:after="360"/>
      </w:pPr>
      <w:bookmarkStart w:id="21" w:name="BookMark1"/>
      <w:r>
        <w:rPr>
          <w:rFonts w:hint="eastAsia"/>
          <w:spacing w:val="320"/>
        </w:rPr>
        <w:lastRenderedPageBreak/>
        <w:t>目</w:t>
      </w:r>
      <w:r>
        <w:rPr>
          <w:rFonts w:hint="eastAsia"/>
        </w:rPr>
        <w:t>次</w:t>
      </w:r>
    </w:p>
    <w:p w:rsidR="008E2030" w:rsidRDefault="00722927">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209019627" w:history="1">
        <w:r>
          <w:rPr>
            <w:rStyle w:val="affff5"/>
            <w:rFonts w:hint="eastAsia"/>
          </w:rPr>
          <w:t>前言</w:t>
        </w:r>
        <w:r>
          <w:tab/>
        </w:r>
        <w:r>
          <w:fldChar w:fldCharType="begin"/>
        </w:r>
        <w:r>
          <w:instrText xml:space="preserve"> PAGEREF _Toc209019627 \h </w:instrText>
        </w:r>
        <w:r>
          <w:fldChar w:fldCharType="separate"/>
        </w:r>
        <w:r w:rsidR="00D6052F">
          <w:rPr>
            <w:noProof/>
          </w:rPr>
          <w:t>II</w:t>
        </w:r>
        <w:r>
          <w:fldChar w:fldCharType="end"/>
        </w:r>
      </w:hyperlink>
    </w:p>
    <w:p w:rsidR="008E2030" w:rsidRDefault="00722927">
      <w:pPr>
        <w:pStyle w:val="10"/>
        <w:tabs>
          <w:tab w:val="right" w:leader="dot" w:pos="9344"/>
        </w:tabs>
        <w:rPr>
          <w:rFonts w:asciiTheme="minorHAnsi" w:eastAsiaTheme="minorEastAsia" w:hAnsiTheme="minorHAnsi" w:cstheme="minorBidi"/>
          <w:szCs w:val="22"/>
        </w:rPr>
      </w:pPr>
      <w:hyperlink w:anchor="_Toc209019628"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_Toc209019628 \h </w:instrText>
        </w:r>
        <w:r>
          <w:fldChar w:fldCharType="separate"/>
        </w:r>
        <w:r w:rsidR="00D6052F">
          <w:rPr>
            <w:noProof/>
          </w:rPr>
          <w:t>1</w:t>
        </w:r>
        <w:r>
          <w:fldChar w:fldCharType="end"/>
        </w:r>
      </w:hyperlink>
    </w:p>
    <w:p w:rsidR="008E2030" w:rsidRDefault="00722927">
      <w:pPr>
        <w:pStyle w:val="10"/>
        <w:tabs>
          <w:tab w:val="right" w:leader="dot" w:pos="9344"/>
        </w:tabs>
        <w:rPr>
          <w:rFonts w:asciiTheme="minorHAnsi" w:eastAsiaTheme="minorEastAsia" w:hAnsiTheme="minorHAnsi" w:cstheme="minorBidi"/>
          <w:szCs w:val="22"/>
        </w:rPr>
      </w:pPr>
      <w:hyperlink w:anchor="_Toc209019629"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_Toc209019629 \h </w:instrText>
        </w:r>
        <w:r>
          <w:fldChar w:fldCharType="separate"/>
        </w:r>
        <w:r w:rsidR="00D6052F">
          <w:rPr>
            <w:noProof/>
          </w:rPr>
          <w:t>1</w:t>
        </w:r>
        <w:r>
          <w:fldChar w:fldCharType="end"/>
        </w:r>
      </w:hyperlink>
    </w:p>
    <w:p w:rsidR="008E2030" w:rsidRDefault="00722927">
      <w:pPr>
        <w:pStyle w:val="10"/>
        <w:tabs>
          <w:tab w:val="right" w:leader="dot" w:pos="9344"/>
        </w:tabs>
        <w:rPr>
          <w:rFonts w:asciiTheme="minorHAnsi" w:eastAsiaTheme="minorEastAsia" w:hAnsiTheme="minorHAnsi" w:cstheme="minorBidi"/>
          <w:szCs w:val="22"/>
        </w:rPr>
      </w:pPr>
      <w:hyperlink w:anchor="_Toc209019630"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_Toc209019630 \h </w:instrText>
        </w:r>
        <w:r>
          <w:fldChar w:fldCharType="separate"/>
        </w:r>
        <w:r w:rsidR="00D6052F">
          <w:rPr>
            <w:noProof/>
          </w:rPr>
          <w:t>1</w:t>
        </w:r>
        <w:r>
          <w:fldChar w:fldCharType="end"/>
        </w:r>
      </w:hyperlink>
    </w:p>
    <w:p w:rsidR="008E2030" w:rsidRDefault="00722927">
      <w:pPr>
        <w:pStyle w:val="10"/>
        <w:tabs>
          <w:tab w:val="right" w:leader="dot" w:pos="9344"/>
        </w:tabs>
        <w:rPr>
          <w:rFonts w:asciiTheme="minorHAnsi" w:eastAsiaTheme="minorEastAsia" w:hAnsiTheme="minorHAnsi" w:cstheme="minorBidi"/>
          <w:szCs w:val="22"/>
        </w:rPr>
      </w:pPr>
      <w:hyperlink w:anchor="_Toc209019631" w:history="1">
        <w:r>
          <w:rPr>
            <w:rStyle w:val="affff5"/>
          </w:rPr>
          <w:t xml:space="preserve">4 </w:t>
        </w:r>
        <w:r>
          <w:rPr>
            <w:rStyle w:val="affff5"/>
            <w:rFonts w:hint="eastAsia"/>
          </w:rPr>
          <w:t xml:space="preserve"> </w:t>
        </w:r>
        <w:r>
          <w:rPr>
            <w:rStyle w:val="affff5"/>
            <w:rFonts w:hint="eastAsia"/>
          </w:rPr>
          <w:t>规划和选址</w:t>
        </w:r>
        <w:r>
          <w:tab/>
        </w:r>
        <w:r>
          <w:fldChar w:fldCharType="begin"/>
        </w:r>
        <w:r>
          <w:instrText xml:space="preserve"> PAGEREF _Toc209019631 \h </w:instrText>
        </w:r>
        <w:r>
          <w:fldChar w:fldCharType="separate"/>
        </w:r>
        <w:r w:rsidR="00D6052F">
          <w:rPr>
            <w:noProof/>
          </w:rPr>
          <w:t>1</w:t>
        </w:r>
        <w:r>
          <w:fldChar w:fldCharType="end"/>
        </w:r>
      </w:hyperlink>
    </w:p>
    <w:p w:rsidR="008E2030" w:rsidRDefault="00722927">
      <w:pPr>
        <w:pStyle w:val="10"/>
        <w:tabs>
          <w:tab w:val="right" w:leader="dot" w:pos="9344"/>
        </w:tabs>
        <w:rPr>
          <w:rFonts w:asciiTheme="minorHAnsi" w:eastAsiaTheme="minorEastAsia" w:hAnsiTheme="minorHAnsi" w:cstheme="minorBidi"/>
          <w:szCs w:val="22"/>
        </w:rPr>
      </w:pPr>
      <w:hyperlink w:anchor="_Toc209019632" w:history="1">
        <w:r>
          <w:rPr>
            <w:rStyle w:val="affff5"/>
          </w:rPr>
          <w:t xml:space="preserve">5 </w:t>
        </w:r>
        <w:r>
          <w:rPr>
            <w:rStyle w:val="affff5"/>
            <w:rFonts w:hint="eastAsia"/>
          </w:rPr>
          <w:t xml:space="preserve"> </w:t>
        </w:r>
        <w:r>
          <w:rPr>
            <w:rStyle w:val="affff5"/>
            <w:rFonts w:hint="eastAsia"/>
          </w:rPr>
          <w:t>基础设施建设</w:t>
        </w:r>
        <w:r>
          <w:tab/>
        </w:r>
        <w:r>
          <w:fldChar w:fldCharType="begin"/>
        </w:r>
        <w:r>
          <w:instrText xml:space="preserve"> PAGEREF _Toc209019632 \h </w:instrText>
        </w:r>
        <w:r>
          <w:fldChar w:fldCharType="separate"/>
        </w:r>
        <w:r w:rsidR="00D6052F">
          <w:rPr>
            <w:noProof/>
          </w:rPr>
          <w:t>2</w:t>
        </w:r>
        <w:r>
          <w:fldChar w:fldCharType="end"/>
        </w:r>
      </w:hyperlink>
    </w:p>
    <w:p w:rsidR="008E2030" w:rsidRDefault="00722927">
      <w:pPr>
        <w:pStyle w:val="10"/>
        <w:tabs>
          <w:tab w:val="right" w:leader="dot" w:pos="9344"/>
        </w:tabs>
        <w:rPr>
          <w:rFonts w:asciiTheme="minorHAnsi" w:eastAsiaTheme="minorEastAsia" w:hAnsiTheme="minorHAnsi" w:cstheme="minorBidi"/>
          <w:szCs w:val="22"/>
        </w:rPr>
      </w:pPr>
      <w:hyperlink w:anchor="_Toc209019633" w:history="1">
        <w:r>
          <w:rPr>
            <w:rStyle w:val="affff5"/>
          </w:rPr>
          <w:t xml:space="preserve">6 </w:t>
        </w:r>
        <w:r>
          <w:rPr>
            <w:rStyle w:val="affff5"/>
            <w:rFonts w:hint="eastAsia"/>
          </w:rPr>
          <w:t xml:space="preserve"> </w:t>
        </w:r>
        <w:r>
          <w:rPr>
            <w:rStyle w:val="affff5"/>
            <w:rFonts w:hint="eastAsia"/>
          </w:rPr>
          <w:t>交流充电桩</w:t>
        </w:r>
        <w:r>
          <w:tab/>
        </w:r>
        <w:r>
          <w:fldChar w:fldCharType="begin"/>
        </w:r>
        <w:r>
          <w:instrText xml:space="preserve"> PAGEREF _Toc209019633 \h </w:instrText>
        </w:r>
        <w:r>
          <w:fldChar w:fldCharType="separate"/>
        </w:r>
        <w:r w:rsidR="00D6052F">
          <w:rPr>
            <w:noProof/>
          </w:rPr>
          <w:t>3</w:t>
        </w:r>
        <w:r>
          <w:fldChar w:fldCharType="end"/>
        </w:r>
      </w:hyperlink>
    </w:p>
    <w:p w:rsidR="008E2030" w:rsidRDefault="00722927">
      <w:pPr>
        <w:pStyle w:val="10"/>
        <w:tabs>
          <w:tab w:val="right" w:leader="dot" w:pos="9344"/>
        </w:tabs>
        <w:rPr>
          <w:rFonts w:asciiTheme="minorHAnsi" w:eastAsiaTheme="minorEastAsia" w:hAnsiTheme="minorHAnsi" w:cstheme="minorBidi"/>
          <w:szCs w:val="22"/>
        </w:rPr>
      </w:pPr>
      <w:hyperlink w:anchor="_Toc209019634" w:history="1">
        <w:r>
          <w:rPr>
            <w:rStyle w:val="affff5"/>
          </w:rPr>
          <w:t xml:space="preserve">7 </w:t>
        </w:r>
        <w:r>
          <w:rPr>
            <w:rStyle w:val="affff5"/>
            <w:rFonts w:hint="eastAsia"/>
          </w:rPr>
          <w:t xml:space="preserve"> </w:t>
        </w:r>
        <w:r>
          <w:rPr>
            <w:rStyle w:val="affff5"/>
            <w:rFonts w:hint="eastAsia"/>
          </w:rPr>
          <w:t>运维管理</w:t>
        </w:r>
        <w:r>
          <w:tab/>
        </w:r>
        <w:r>
          <w:fldChar w:fldCharType="begin"/>
        </w:r>
        <w:r>
          <w:instrText xml:space="preserve"> PAGEREF _Toc209019634 \h </w:instrText>
        </w:r>
        <w:r>
          <w:fldChar w:fldCharType="separate"/>
        </w:r>
        <w:r w:rsidR="00D6052F">
          <w:rPr>
            <w:noProof/>
          </w:rPr>
          <w:t>4</w:t>
        </w:r>
        <w:r>
          <w:fldChar w:fldCharType="end"/>
        </w:r>
      </w:hyperlink>
    </w:p>
    <w:p w:rsidR="008E2030" w:rsidRDefault="00722927">
      <w:pPr>
        <w:pStyle w:val="10"/>
        <w:tabs>
          <w:tab w:val="right" w:leader="dot" w:pos="9344"/>
        </w:tabs>
        <w:rPr>
          <w:rFonts w:asciiTheme="minorHAnsi" w:eastAsiaTheme="minorEastAsia" w:hAnsiTheme="minorHAnsi" w:cstheme="minorBidi"/>
          <w:szCs w:val="22"/>
        </w:rPr>
      </w:pPr>
      <w:hyperlink w:anchor="_Toc209019635" w:history="1">
        <w:r>
          <w:rPr>
            <w:rStyle w:val="affff5"/>
          </w:rPr>
          <w:t xml:space="preserve">8 </w:t>
        </w:r>
        <w:r>
          <w:rPr>
            <w:rStyle w:val="affff5"/>
            <w:rFonts w:hint="eastAsia"/>
          </w:rPr>
          <w:t xml:space="preserve"> </w:t>
        </w:r>
        <w:r>
          <w:rPr>
            <w:rStyle w:val="affff5"/>
            <w:rFonts w:hint="eastAsia"/>
          </w:rPr>
          <w:t>安全管理</w:t>
        </w:r>
        <w:r>
          <w:tab/>
        </w:r>
        <w:r>
          <w:fldChar w:fldCharType="begin"/>
        </w:r>
        <w:r>
          <w:instrText xml:space="preserve"> PAGEREF _Toc2</w:instrText>
        </w:r>
        <w:r>
          <w:instrText xml:space="preserve">09019635 \h </w:instrText>
        </w:r>
        <w:r>
          <w:fldChar w:fldCharType="separate"/>
        </w:r>
        <w:r w:rsidR="00D6052F">
          <w:rPr>
            <w:noProof/>
          </w:rPr>
          <w:t>4</w:t>
        </w:r>
        <w:r>
          <w:fldChar w:fldCharType="end"/>
        </w:r>
      </w:hyperlink>
    </w:p>
    <w:p w:rsidR="008E2030" w:rsidRDefault="00722927">
      <w:pPr>
        <w:pStyle w:val="10"/>
        <w:tabs>
          <w:tab w:val="right" w:leader="dot" w:pos="9344"/>
        </w:tabs>
        <w:rPr>
          <w:rFonts w:asciiTheme="minorHAnsi" w:eastAsiaTheme="minorEastAsia" w:hAnsiTheme="minorHAnsi" w:cstheme="minorBidi"/>
          <w:szCs w:val="22"/>
        </w:rPr>
      </w:pPr>
      <w:hyperlink w:anchor="_Toc209019636" w:history="1">
        <w:r>
          <w:rPr>
            <w:rStyle w:val="affff5"/>
          </w:rPr>
          <w:t xml:space="preserve">9 </w:t>
        </w:r>
        <w:r>
          <w:rPr>
            <w:rStyle w:val="affff5"/>
            <w:rFonts w:hint="eastAsia"/>
          </w:rPr>
          <w:t xml:space="preserve"> </w:t>
        </w:r>
        <w:r>
          <w:rPr>
            <w:rStyle w:val="affff5"/>
            <w:rFonts w:hint="eastAsia"/>
          </w:rPr>
          <w:t>评价与改进</w:t>
        </w:r>
        <w:r>
          <w:tab/>
        </w:r>
        <w:r>
          <w:fldChar w:fldCharType="begin"/>
        </w:r>
        <w:r>
          <w:instrText xml:space="preserve"> PAGEREF _Toc209019636 \h </w:instrText>
        </w:r>
        <w:r>
          <w:fldChar w:fldCharType="separate"/>
        </w:r>
        <w:r w:rsidR="00D6052F">
          <w:rPr>
            <w:noProof/>
          </w:rPr>
          <w:t>5</w:t>
        </w:r>
        <w:r>
          <w:fldChar w:fldCharType="end"/>
        </w:r>
      </w:hyperlink>
    </w:p>
    <w:p w:rsidR="008E2030" w:rsidRDefault="00722927">
      <w:pPr>
        <w:pStyle w:val="affffff3"/>
        <w:spacing w:after="360"/>
        <w:sectPr w:rsidR="008E2030">
          <w:headerReference w:type="even" r:id="rId18"/>
          <w:headerReference w:type="default"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rsidR="008E2030" w:rsidRDefault="00722927">
      <w:pPr>
        <w:pStyle w:val="a6"/>
        <w:spacing w:before="900" w:after="360"/>
      </w:pPr>
      <w:bookmarkStart w:id="22" w:name="_Toc209019627"/>
      <w:bookmarkStart w:id="23" w:name="BookMark2"/>
      <w:bookmarkEnd w:id="21"/>
      <w:r>
        <w:rPr>
          <w:spacing w:val="320"/>
        </w:rPr>
        <w:lastRenderedPageBreak/>
        <w:t>前</w:t>
      </w:r>
      <w:r>
        <w:t>言</w:t>
      </w:r>
      <w:bookmarkEnd w:id="22"/>
    </w:p>
    <w:p w:rsidR="008E2030" w:rsidRDefault="00722927">
      <w:pPr>
        <w:pStyle w:val="affffe"/>
        <w:spacing w:line="288" w:lineRule="auto"/>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8E2030" w:rsidRDefault="00722927">
      <w:pPr>
        <w:pStyle w:val="affffe"/>
        <w:spacing w:line="288" w:lineRule="auto"/>
        <w:ind w:firstLine="420"/>
      </w:pPr>
      <w:r>
        <w:t>请注意本文件的某些内容可能涉及专利。本文件的发布机构不承担识别专利的责任。</w:t>
      </w:r>
    </w:p>
    <w:p w:rsidR="008E2030" w:rsidRDefault="00722927">
      <w:pPr>
        <w:pStyle w:val="affffe"/>
        <w:spacing w:line="288" w:lineRule="auto"/>
        <w:ind w:firstLine="420"/>
      </w:pPr>
      <w:r>
        <w:rPr>
          <w:rFonts w:hint="eastAsia"/>
        </w:rPr>
        <w:t>本文件由江苏中田物联技术有限公司提出。</w:t>
      </w:r>
    </w:p>
    <w:p w:rsidR="008E2030" w:rsidRDefault="00722927">
      <w:pPr>
        <w:pStyle w:val="affffe"/>
        <w:spacing w:line="288" w:lineRule="auto"/>
        <w:ind w:firstLine="420"/>
      </w:pPr>
      <w:r>
        <w:rPr>
          <w:rFonts w:hint="eastAsia"/>
        </w:rPr>
        <w:t>本文</w:t>
      </w:r>
      <w:r>
        <w:rPr>
          <w:rFonts w:hint="eastAsia"/>
        </w:rPr>
        <w:t>件由中国商品学会归口。</w:t>
      </w:r>
    </w:p>
    <w:p w:rsidR="008E2030" w:rsidRDefault="00722927">
      <w:pPr>
        <w:pStyle w:val="affffe"/>
        <w:spacing w:line="288" w:lineRule="auto"/>
        <w:ind w:firstLine="420"/>
      </w:pPr>
      <w:r>
        <w:rPr>
          <w:rFonts w:hint="eastAsia"/>
        </w:rPr>
        <w:t>本文件起草单位：江苏中田物联技术有限公司、××××、××××</w:t>
      </w:r>
    </w:p>
    <w:p w:rsidR="008E2030" w:rsidRDefault="00722927">
      <w:pPr>
        <w:pStyle w:val="affffe"/>
        <w:spacing w:line="288" w:lineRule="auto"/>
        <w:ind w:firstLine="420"/>
      </w:pPr>
      <w:r>
        <w:rPr>
          <w:rFonts w:hint="eastAsia"/>
        </w:rPr>
        <w:t>本文件主要起草人：×××、×××、×××</w:t>
      </w:r>
    </w:p>
    <w:p w:rsidR="008E2030" w:rsidRDefault="008E2030">
      <w:pPr>
        <w:pStyle w:val="affffe"/>
        <w:ind w:firstLine="420"/>
      </w:pPr>
    </w:p>
    <w:p w:rsidR="008E2030" w:rsidRDefault="008E2030">
      <w:pPr>
        <w:pStyle w:val="affffe"/>
        <w:ind w:firstLine="420"/>
        <w:sectPr w:rsidR="008E2030">
          <w:pgSz w:w="11906" w:h="16838"/>
          <w:pgMar w:top="1928" w:right="1134" w:bottom="1134" w:left="1134" w:header="1418" w:footer="1134" w:gutter="284"/>
          <w:pgNumType w:fmt="upperRoman"/>
          <w:cols w:space="425"/>
          <w:formProt w:val="0"/>
          <w:docGrid w:linePitch="312"/>
        </w:sectPr>
      </w:pPr>
    </w:p>
    <w:p w:rsidR="008E2030" w:rsidRDefault="008E2030">
      <w:pPr>
        <w:spacing w:line="20" w:lineRule="exact"/>
        <w:jc w:val="center"/>
        <w:rPr>
          <w:rFonts w:ascii="黑体" w:eastAsia="黑体" w:hAnsi="黑体"/>
          <w:sz w:val="32"/>
          <w:szCs w:val="32"/>
        </w:rPr>
      </w:pPr>
      <w:bookmarkStart w:id="24" w:name="BookMark4"/>
      <w:bookmarkEnd w:id="23"/>
    </w:p>
    <w:p w:rsidR="008E2030" w:rsidRDefault="008E2030">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6A7672F4FD5C420B878BA9111AC6A963"/>
        </w:placeholder>
      </w:sdtPr>
      <w:sdtEndPr/>
      <w:sdtContent>
        <w:p w:rsidR="008E2030" w:rsidRDefault="00722927">
          <w:pPr>
            <w:pStyle w:val="afffffffff1"/>
            <w:spacing w:beforeLines="100" w:before="240" w:afterLines="220" w:after="528"/>
          </w:pPr>
          <w:r>
            <w:rPr>
              <w:rFonts w:hint="eastAsia"/>
            </w:rPr>
            <w:t>智能充电站建设与管理规范</w:t>
          </w:r>
        </w:p>
      </w:sdtContent>
    </w:sdt>
    <w:p w:rsidR="008E2030" w:rsidRDefault="00722927">
      <w:pPr>
        <w:pStyle w:val="affc"/>
        <w:spacing w:before="240" w:after="240"/>
      </w:pPr>
      <w:bookmarkStart w:id="26" w:name="_Toc209019628"/>
      <w:bookmarkStart w:id="27" w:name="_Toc26986530"/>
      <w:bookmarkStart w:id="28" w:name="_Toc26718930"/>
      <w:bookmarkStart w:id="29" w:name="_Toc24884218"/>
      <w:bookmarkStart w:id="30" w:name="_Toc17233325"/>
      <w:bookmarkStart w:id="31" w:name="_Toc97192964"/>
      <w:bookmarkStart w:id="32" w:name="_Toc17233333"/>
      <w:bookmarkStart w:id="33" w:name="_Toc24884211"/>
      <w:bookmarkStart w:id="34" w:name="_Toc26986771"/>
      <w:bookmarkStart w:id="35" w:name="_Toc187999600"/>
      <w:bookmarkStart w:id="36" w:name="_Toc26648465"/>
      <w:bookmarkEnd w:id="25"/>
      <w:r>
        <w:rPr>
          <w:rFonts w:hint="eastAsia"/>
        </w:rPr>
        <w:t>范围</w:t>
      </w:r>
      <w:bookmarkEnd w:id="26"/>
      <w:bookmarkEnd w:id="27"/>
      <w:bookmarkEnd w:id="28"/>
      <w:bookmarkEnd w:id="29"/>
      <w:bookmarkEnd w:id="30"/>
      <w:bookmarkEnd w:id="31"/>
      <w:bookmarkEnd w:id="32"/>
      <w:bookmarkEnd w:id="33"/>
      <w:bookmarkEnd w:id="34"/>
      <w:bookmarkEnd w:id="35"/>
      <w:bookmarkEnd w:id="36"/>
    </w:p>
    <w:p w:rsidR="008E2030" w:rsidRDefault="00722927">
      <w:pPr>
        <w:pStyle w:val="affffe"/>
        <w:spacing w:line="288" w:lineRule="auto"/>
        <w:ind w:firstLine="420"/>
      </w:pPr>
      <w:bookmarkStart w:id="37" w:name="_Toc26648466"/>
      <w:bookmarkStart w:id="38" w:name="_Toc24884212"/>
      <w:bookmarkStart w:id="39" w:name="_Toc17233326"/>
      <w:bookmarkStart w:id="40" w:name="_Toc17233334"/>
      <w:bookmarkStart w:id="41" w:name="_Toc24884219"/>
      <w:r>
        <w:t>本文件规定了智能充电站建设与管理的规划和选址、基础设施建设、交流充电桩、运维管理、安全管理、评价与改进。</w:t>
      </w:r>
    </w:p>
    <w:p w:rsidR="008E2030" w:rsidRDefault="00722927">
      <w:pPr>
        <w:pStyle w:val="affffe"/>
        <w:spacing w:line="288" w:lineRule="auto"/>
        <w:ind w:firstLine="420"/>
      </w:pPr>
      <w:r>
        <w:rPr>
          <w:rFonts w:hint="eastAsia"/>
        </w:rPr>
        <w:t>本文件适用于新建、改建、扩建的公共智能充电站、社区智能充电站及专用智能充电站的建设、运营与管理。</w:t>
      </w:r>
    </w:p>
    <w:p w:rsidR="008E2030" w:rsidRDefault="00722927">
      <w:pPr>
        <w:pStyle w:val="affc"/>
        <w:spacing w:before="240" w:after="240"/>
      </w:pPr>
      <w:bookmarkStart w:id="42" w:name="_Toc26986531"/>
      <w:bookmarkStart w:id="43" w:name="_Toc26986772"/>
      <w:bookmarkStart w:id="44" w:name="_Toc209019629"/>
      <w:bookmarkStart w:id="45" w:name="_Toc97192965"/>
      <w:bookmarkStart w:id="46" w:name="_Toc26718931"/>
      <w:bookmarkStart w:id="47" w:name="_Toc187999601"/>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F1C546B2AB429FA66A6ED16353B4E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E2030" w:rsidRDefault="00722927">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E2030" w:rsidRDefault="00722927">
      <w:pPr>
        <w:pStyle w:val="affffe"/>
        <w:spacing w:line="288" w:lineRule="auto"/>
        <w:ind w:firstLine="420"/>
      </w:pPr>
      <w:r>
        <w:rPr>
          <w:rFonts w:hint="eastAsia"/>
        </w:rPr>
        <w:t>GB/T 4208</w:t>
      </w:r>
      <w:r>
        <w:rPr>
          <w:rFonts w:hint="eastAsia"/>
        </w:rPr>
        <w:t>—</w:t>
      </w:r>
      <w:r>
        <w:rPr>
          <w:rFonts w:hint="eastAsia"/>
        </w:rPr>
        <w:t xml:space="preserve">2017  </w:t>
      </w:r>
      <w:r>
        <w:rPr>
          <w:rFonts w:hint="eastAsia"/>
        </w:rPr>
        <w:t>外壳防护等级</w:t>
      </w:r>
      <w:r>
        <w:rPr>
          <w:rFonts w:hint="eastAsia"/>
        </w:rPr>
        <w:t>（</w:t>
      </w:r>
      <w:r>
        <w:rPr>
          <w:rFonts w:hint="eastAsia"/>
        </w:rPr>
        <w:t>IP</w:t>
      </w:r>
      <w:r>
        <w:rPr>
          <w:rFonts w:hint="eastAsia"/>
        </w:rPr>
        <w:t>代码</w:t>
      </w:r>
      <w:r>
        <w:rPr>
          <w:rFonts w:hint="eastAsia"/>
        </w:rPr>
        <w:t>）</w:t>
      </w:r>
    </w:p>
    <w:p w:rsidR="008E2030" w:rsidRDefault="00722927">
      <w:pPr>
        <w:pStyle w:val="affffe"/>
        <w:spacing w:line="288" w:lineRule="auto"/>
        <w:ind w:firstLine="420"/>
      </w:pPr>
      <w:r>
        <w:rPr>
          <w:rFonts w:hint="eastAsia"/>
        </w:rPr>
        <w:t xml:space="preserve">GB/T 29317  </w:t>
      </w:r>
      <w:r>
        <w:rPr>
          <w:rFonts w:hint="eastAsia"/>
        </w:rPr>
        <w:t>电动汽车</w:t>
      </w:r>
      <w:proofErr w:type="gramStart"/>
      <w:r>
        <w:rPr>
          <w:rFonts w:hint="eastAsia"/>
        </w:rPr>
        <w:t>充换电</w:t>
      </w:r>
      <w:proofErr w:type="gramEnd"/>
      <w:r>
        <w:rPr>
          <w:rFonts w:hint="eastAsia"/>
        </w:rPr>
        <w:t>设施术语</w:t>
      </w:r>
    </w:p>
    <w:p w:rsidR="008E2030" w:rsidRDefault="00722927">
      <w:pPr>
        <w:pStyle w:val="affffe"/>
        <w:spacing w:line="288" w:lineRule="auto"/>
        <w:ind w:firstLine="420"/>
      </w:pPr>
      <w:r>
        <w:rPr>
          <w:rFonts w:hint="eastAsia"/>
        </w:rPr>
        <w:t xml:space="preserve">GB/T 29781  </w:t>
      </w:r>
      <w:r>
        <w:rPr>
          <w:rFonts w:hint="eastAsia"/>
        </w:rPr>
        <w:t>电动汽车充电站通用要求</w:t>
      </w:r>
    </w:p>
    <w:p w:rsidR="008E2030" w:rsidRDefault="00722927">
      <w:pPr>
        <w:pStyle w:val="affffe"/>
        <w:spacing w:line="288" w:lineRule="auto"/>
        <w:ind w:firstLine="420"/>
      </w:pPr>
      <w:r>
        <w:rPr>
          <w:rFonts w:hint="eastAsia"/>
        </w:rPr>
        <w:t xml:space="preserve">GB 50052  </w:t>
      </w:r>
      <w:r>
        <w:rPr>
          <w:rFonts w:hint="eastAsia"/>
        </w:rPr>
        <w:t>供配电系统设计规范</w:t>
      </w:r>
    </w:p>
    <w:p w:rsidR="008E2030" w:rsidRDefault="00722927">
      <w:pPr>
        <w:pStyle w:val="affffe"/>
        <w:spacing w:line="288" w:lineRule="auto"/>
        <w:ind w:firstLine="420"/>
      </w:pPr>
      <w:r>
        <w:rPr>
          <w:rFonts w:hint="eastAsia"/>
        </w:rPr>
        <w:t xml:space="preserve">GB 50053  20 kV </w:t>
      </w:r>
      <w:r>
        <w:rPr>
          <w:rFonts w:hint="eastAsia"/>
        </w:rPr>
        <w:t>及以下变电所设计规范</w:t>
      </w:r>
    </w:p>
    <w:p w:rsidR="008E2030" w:rsidRDefault="00722927">
      <w:pPr>
        <w:pStyle w:val="affffe"/>
        <w:spacing w:line="288" w:lineRule="auto"/>
        <w:ind w:firstLine="420"/>
      </w:pPr>
      <w:r>
        <w:rPr>
          <w:rFonts w:hint="eastAsia"/>
        </w:rPr>
        <w:t xml:space="preserve">GB 50054  </w:t>
      </w:r>
      <w:r>
        <w:rPr>
          <w:rFonts w:hint="eastAsia"/>
        </w:rPr>
        <w:t>低压配电设计规范</w:t>
      </w:r>
    </w:p>
    <w:p w:rsidR="008E2030" w:rsidRDefault="00722927">
      <w:pPr>
        <w:pStyle w:val="affffe"/>
        <w:spacing w:line="288" w:lineRule="auto"/>
        <w:ind w:firstLine="420"/>
      </w:pPr>
      <w:r>
        <w:rPr>
          <w:rFonts w:hint="eastAsia"/>
        </w:rPr>
        <w:t xml:space="preserve">GB 50057  </w:t>
      </w:r>
      <w:r>
        <w:rPr>
          <w:rFonts w:hint="eastAsia"/>
        </w:rPr>
        <w:t>建筑物防雷设计规</w:t>
      </w:r>
      <w:r>
        <w:rPr>
          <w:rFonts w:hint="eastAsia"/>
        </w:rPr>
        <w:t>范</w:t>
      </w:r>
    </w:p>
    <w:p w:rsidR="008E2030" w:rsidRDefault="00722927">
      <w:pPr>
        <w:pStyle w:val="affffe"/>
        <w:spacing w:line="288" w:lineRule="auto"/>
        <w:ind w:firstLine="420"/>
      </w:pPr>
      <w:r>
        <w:rPr>
          <w:rFonts w:hint="eastAsia"/>
        </w:rPr>
        <w:t xml:space="preserve">GB/T 50966  </w:t>
      </w:r>
      <w:r>
        <w:rPr>
          <w:rFonts w:hint="eastAsia"/>
        </w:rPr>
        <w:t>电动汽车充电站设计标准</w:t>
      </w:r>
    </w:p>
    <w:p w:rsidR="008E2030" w:rsidRDefault="00722927">
      <w:pPr>
        <w:pStyle w:val="affffe"/>
        <w:spacing w:line="288" w:lineRule="auto"/>
        <w:ind w:firstLine="420"/>
      </w:pPr>
      <w:r>
        <w:rPr>
          <w:rFonts w:hint="eastAsia"/>
        </w:rPr>
        <w:t xml:space="preserve">GB/T 51313  </w:t>
      </w:r>
      <w:r>
        <w:rPr>
          <w:rFonts w:hint="eastAsia"/>
        </w:rPr>
        <w:t>电动汽车分散充电设施工程技术标准</w:t>
      </w:r>
    </w:p>
    <w:p w:rsidR="008E2030" w:rsidRDefault="00722927">
      <w:pPr>
        <w:pStyle w:val="affffe"/>
        <w:spacing w:line="288" w:lineRule="auto"/>
        <w:ind w:firstLine="420"/>
      </w:pPr>
      <w:r>
        <w:rPr>
          <w:rFonts w:hint="eastAsia"/>
        </w:rPr>
        <w:t xml:space="preserve">DL/T 620  </w:t>
      </w:r>
      <w:r>
        <w:rPr>
          <w:rFonts w:hint="eastAsia"/>
        </w:rPr>
        <w:t>交流电气装置的过电压保护和绝缘配合</w:t>
      </w:r>
    </w:p>
    <w:p w:rsidR="008E2030" w:rsidRDefault="00722927">
      <w:pPr>
        <w:pStyle w:val="affffe"/>
        <w:spacing w:line="288" w:lineRule="auto"/>
        <w:ind w:firstLine="420"/>
      </w:pPr>
      <w:r>
        <w:rPr>
          <w:rFonts w:hint="eastAsia"/>
        </w:rPr>
        <w:t xml:space="preserve">NB/T 33002  </w:t>
      </w:r>
      <w:r>
        <w:rPr>
          <w:rFonts w:hint="eastAsia"/>
        </w:rPr>
        <w:t>电动汽车交流充电桩技术条件</w:t>
      </w:r>
    </w:p>
    <w:p w:rsidR="008E2030" w:rsidRDefault="00722927">
      <w:pPr>
        <w:pStyle w:val="affc"/>
        <w:spacing w:before="240" w:after="240"/>
      </w:pPr>
      <w:bookmarkStart w:id="48" w:name="_Toc97192966"/>
      <w:bookmarkStart w:id="49" w:name="_Toc187999602"/>
      <w:bookmarkStart w:id="50" w:name="_Toc209019630"/>
      <w:r>
        <w:rPr>
          <w:rFonts w:hint="eastAsia"/>
          <w:szCs w:val="21"/>
        </w:rPr>
        <w:t>术语和定义</w:t>
      </w:r>
      <w:bookmarkEnd w:id="48"/>
      <w:bookmarkEnd w:id="49"/>
      <w:bookmarkEnd w:id="50"/>
    </w:p>
    <w:bookmarkStart w:id="51" w:name="_Toc26986532" w:displacedByCustomXml="next"/>
    <w:bookmarkEnd w:id="51" w:displacedByCustomXml="next"/>
    <w:sdt>
      <w:sdtPr>
        <w:id w:val="-1909835108"/>
        <w:placeholder>
          <w:docPart w:val="939ED64C5B2B42EB87B0F5CA64FCE9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8E2030" w:rsidRDefault="00722927">
          <w:pPr>
            <w:pStyle w:val="affffe"/>
            <w:spacing w:line="288" w:lineRule="auto"/>
            <w:ind w:firstLine="420"/>
          </w:pPr>
          <w:r>
            <w:rPr>
              <w:rFonts w:hint="eastAsia"/>
            </w:rPr>
            <w:t>GB/T 29317</w:t>
          </w:r>
          <w:r>
            <w:rPr>
              <w:rFonts w:hint="eastAsia"/>
            </w:rPr>
            <w:t>、</w:t>
          </w:r>
          <w:r>
            <w:rPr>
              <w:rFonts w:hint="eastAsia"/>
            </w:rPr>
            <w:t xml:space="preserve">GB/T 29781 </w:t>
          </w:r>
          <w:r>
            <w:t>界定的术语和定义适用于本文件。</w:t>
          </w:r>
        </w:p>
      </w:sdtContent>
    </w:sdt>
    <w:p w:rsidR="008E2030" w:rsidRDefault="00722927">
      <w:pPr>
        <w:pStyle w:val="affc"/>
        <w:spacing w:before="240" w:after="240"/>
      </w:pPr>
      <w:bookmarkStart w:id="52" w:name="_Toc209019631"/>
      <w:r>
        <w:t>规划和选址</w:t>
      </w:r>
      <w:bookmarkEnd w:id="52"/>
    </w:p>
    <w:p w:rsidR="008E2030" w:rsidRDefault="00722927">
      <w:pPr>
        <w:pStyle w:val="affd"/>
        <w:spacing w:before="120" w:after="120"/>
      </w:pPr>
      <w:r>
        <w:t>需求测算</w:t>
      </w:r>
    </w:p>
    <w:p w:rsidR="008E2030" w:rsidRDefault="00722927">
      <w:pPr>
        <w:pStyle w:val="affffffffa"/>
        <w:spacing w:line="288" w:lineRule="auto"/>
      </w:pPr>
      <w:r>
        <w:rPr>
          <w:rFonts w:hint="eastAsia"/>
        </w:rPr>
        <w:t>应根据区域电动汽车保有量、日均车流量、用户停留时长等数据建模，设定合理车桩比，其中</w:t>
      </w:r>
      <w:proofErr w:type="gramStart"/>
      <w:r>
        <w:rPr>
          <w:rFonts w:hint="eastAsia"/>
        </w:rPr>
        <w:t>商务区宜为</w:t>
      </w:r>
      <w:proofErr w:type="gramEnd"/>
      <w:r>
        <w:rPr>
          <w:rFonts w:hint="eastAsia"/>
        </w:rPr>
        <w:t xml:space="preserve"> 5:1</w:t>
      </w:r>
      <w:r>
        <w:rPr>
          <w:rFonts w:hint="eastAsia"/>
        </w:rPr>
        <w:t>、社区宜为</w:t>
      </w:r>
      <w:r>
        <w:rPr>
          <w:rFonts w:hint="eastAsia"/>
        </w:rPr>
        <w:t xml:space="preserve"> 8:1</w:t>
      </w:r>
      <w:r>
        <w:rPr>
          <w:rFonts w:hint="eastAsia"/>
        </w:rPr>
        <w:t>。</w:t>
      </w:r>
    </w:p>
    <w:p w:rsidR="008E2030" w:rsidRDefault="00722927">
      <w:pPr>
        <w:pStyle w:val="affffffffa"/>
        <w:spacing w:line="288" w:lineRule="auto"/>
      </w:pPr>
      <w:r>
        <w:rPr>
          <w:rFonts w:hint="eastAsia"/>
        </w:rPr>
        <w:t>应预留</w:t>
      </w:r>
      <w:r>
        <w:rPr>
          <w:rFonts w:hint="eastAsia"/>
        </w:rPr>
        <w:t xml:space="preserve"> 20</w:t>
      </w:r>
      <w:r>
        <w:rPr>
          <w:rFonts w:hAnsi="宋体" w:hint="eastAsia"/>
        </w:rPr>
        <w:t>％</w:t>
      </w:r>
      <w:r>
        <w:rPr>
          <w:rFonts w:hint="eastAsia"/>
        </w:rPr>
        <w:t xml:space="preserve"> </w:t>
      </w:r>
      <w:r>
        <w:rPr>
          <w:rFonts w:hint="eastAsia"/>
        </w:rPr>
        <w:t>功率冗余，以应对未来充电需求扩容。</w:t>
      </w:r>
    </w:p>
    <w:p w:rsidR="008E2030" w:rsidRDefault="00722927">
      <w:pPr>
        <w:pStyle w:val="affd"/>
        <w:spacing w:before="120" w:after="120"/>
      </w:pPr>
      <w:r>
        <w:rPr>
          <w:rFonts w:hint="eastAsia"/>
        </w:rPr>
        <w:t>站址选</w:t>
      </w:r>
      <w:r>
        <w:rPr>
          <w:rFonts w:hint="eastAsia"/>
        </w:rPr>
        <w:t>择</w:t>
      </w:r>
    </w:p>
    <w:p w:rsidR="008E2030" w:rsidRDefault="00722927">
      <w:pPr>
        <w:pStyle w:val="affffffffa"/>
        <w:spacing w:line="288" w:lineRule="auto"/>
      </w:pPr>
      <w:r>
        <w:rPr>
          <w:rFonts w:hint="eastAsia"/>
        </w:rPr>
        <w:t>充电站的总体规划应符合城镇规划、环境保护的要求，并应选在交通便利、电力供应稳定的区域。</w:t>
      </w:r>
    </w:p>
    <w:p w:rsidR="008E2030" w:rsidRDefault="00722927">
      <w:pPr>
        <w:pStyle w:val="affffffffa"/>
        <w:spacing w:line="288" w:lineRule="auto"/>
      </w:pPr>
      <w:r>
        <w:rPr>
          <w:rFonts w:hint="eastAsia"/>
        </w:rPr>
        <w:t>公共场景中商业综合体、写字楼等场所</w:t>
      </w:r>
      <w:proofErr w:type="gramStart"/>
      <w:r>
        <w:rPr>
          <w:rFonts w:hint="eastAsia"/>
        </w:rPr>
        <w:t>宜部署</w:t>
      </w:r>
      <w:proofErr w:type="gramEnd"/>
      <w:r>
        <w:rPr>
          <w:rFonts w:hint="eastAsia"/>
        </w:rPr>
        <w:t>在入口、电梯厅附近，</w:t>
      </w:r>
      <w:proofErr w:type="gramStart"/>
      <w:r>
        <w:rPr>
          <w:rFonts w:hint="eastAsia"/>
        </w:rPr>
        <w:t>单区覆盖</w:t>
      </w:r>
      <w:proofErr w:type="gramEnd"/>
      <w:r>
        <w:rPr>
          <w:rFonts w:hint="eastAsia"/>
        </w:rPr>
        <w:t>半径应不大于</w:t>
      </w:r>
      <w:r>
        <w:rPr>
          <w:rFonts w:hint="eastAsia"/>
        </w:rPr>
        <w:t xml:space="preserve"> 50 m</w:t>
      </w:r>
      <w:r>
        <w:rPr>
          <w:rFonts w:hint="eastAsia"/>
        </w:rPr>
        <w:t>。</w:t>
      </w:r>
    </w:p>
    <w:p w:rsidR="008E2030" w:rsidRDefault="00722927">
      <w:pPr>
        <w:pStyle w:val="affffffffa"/>
        <w:spacing w:line="288" w:lineRule="auto"/>
      </w:pPr>
      <w:r>
        <w:rPr>
          <w:rFonts w:hint="eastAsia"/>
        </w:rPr>
        <w:lastRenderedPageBreak/>
        <w:t>社区场景应按不低于总车位</w:t>
      </w:r>
      <w:r>
        <w:rPr>
          <w:rFonts w:hint="eastAsia"/>
        </w:rPr>
        <w:t xml:space="preserve"> 10</w:t>
      </w:r>
      <w:r>
        <w:rPr>
          <w:rFonts w:hAnsi="宋体" w:hint="eastAsia"/>
        </w:rPr>
        <w:t>％</w:t>
      </w:r>
      <w:r>
        <w:rPr>
          <w:rFonts w:hint="eastAsia"/>
        </w:rPr>
        <w:t xml:space="preserve"> </w:t>
      </w:r>
      <w:r>
        <w:rPr>
          <w:rFonts w:hint="eastAsia"/>
        </w:rPr>
        <w:t>的比例配建充电桩，老旧小区宜采用</w:t>
      </w:r>
      <w:r>
        <w:rPr>
          <w:rFonts w:hint="eastAsia"/>
        </w:rPr>
        <w:t xml:space="preserve"> </w:t>
      </w:r>
      <w:r>
        <w:rPr>
          <w:rFonts w:hint="eastAsia"/>
        </w:rPr>
        <w:t>“统建统营”</w:t>
      </w:r>
      <w:r>
        <w:rPr>
          <w:rFonts w:hint="eastAsia"/>
        </w:rPr>
        <w:t xml:space="preserve"> </w:t>
      </w:r>
      <w:r>
        <w:rPr>
          <w:rFonts w:hint="eastAsia"/>
        </w:rPr>
        <w:t>模式。</w:t>
      </w:r>
    </w:p>
    <w:p w:rsidR="008E2030" w:rsidRDefault="00722927">
      <w:pPr>
        <w:pStyle w:val="afff2"/>
        <w:spacing w:line="288" w:lineRule="auto"/>
      </w:pPr>
      <w:r>
        <w:rPr>
          <w:rFonts w:hint="eastAsia"/>
        </w:rPr>
        <w:t>“统建统营”</w:t>
      </w:r>
      <w:r>
        <w:rPr>
          <w:rFonts w:hint="eastAsia"/>
        </w:rPr>
        <w:t xml:space="preserve"> </w:t>
      </w:r>
      <w:r>
        <w:rPr>
          <w:rFonts w:hint="eastAsia"/>
        </w:rPr>
        <w:t>模式是指“政府补贴</w:t>
      </w:r>
      <w:r>
        <w:rPr>
          <w:rFonts w:hint="eastAsia"/>
        </w:rPr>
        <w:t xml:space="preserve"> 30</w:t>
      </w:r>
      <w:r>
        <w:rPr>
          <w:rFonts w:hAnsi="宋体" w:hint="eastAsia"/>
        </w:rPr>
        <w:t>％</w:t>
      </w:r>
      <w:r>
        <w:rPr>
          <w:rFonts w:hint="eastAsia"/>
        </w:rPr>
        <w:t>+</w:t>
      </w:r>
      <w:r>
        <w:rPr>
          <w:rFonts w:hint="eastAsia"/>
        </w:rPr>
        <w:t>企业运营”。</w:t>
      </w:r>
    </w:p>
    <w:p w:rsidR="008E2030" w:rsidRDefault="00722927">
      <w:pPr>
        <w:pStyle w:val="affe"/>
        <w:spacing w:beforeLines="0" w:before="0" w:afterLines="0" w:after="0" w:line="288" w:lineRule="auto"/>
      </w:pPr>
      <w:r>
        <w:rPr>
          <w:rFonts w:ascii="宋体" w:eastAsia="宋体" w:hint="eastAsia"/>
        </w:rPr>
        <w:t>充电站选址应满足消防安全的要求。</w:t>
      </w:r>
    </w:p>
    <w:p w:rsidR="008E2030" w:rsidRDefault="00722927">
      <w:pPr>
        <w:pStyle w:val="affd"/>
        <w:spacing w:before="120" w:after="120"/>
      </w:pPr>
      <w:r>
        <w:t>平面布置</w:t>
      </w:r>
    </w:p>
    <w:p w:rsidR="008E2030" w:rsidRDefault="00722927">
      <w:pPr>
        <w:pStyle w:val="affe"/>
        <w:spacing w:beforeLines="0" w:before="0" w:afterLines="0" w:after="0" w:line="288" w:lineRule="auto"/>
        <w:rPr>
          <w:rFonts w:ascii="宋体" w:eastAsia="宋体"/>
        </w:rPr>
      </w:pPr>
      <w:r>
        <w:rPr>
          <w:rFonts w:ascii="宋体" w:eastAsia="宋体" w:hint="eastAsia"/>
        </w:rPr>
        <w:t>站区总布置应满足总体规划要求，并应符合站内工艺布置合理、功能分区明确原则。</w:t>
      </w:r>
    </w:p>
    <w:p w:rsidR="008E2030" w:rsidRDefault="00722927">
      <w:pPr>
        <w:pStyle w:val="affffffffa"/>
        <w:spacing w:line="288" w:lineRule="auto"/>
      </w:pPr>
      <w:r>
        <w:rPr>
          <w:rFonts w:hint="eastAsia"/>
        </w:rPr>
        <w:t>充电设备应靠近充电位布置，设备外距充电位边缘净距不宜小于</w:t>
      </w:r>
      <w:r>
        <w:rPr>
          <w:rFonts w:hint="eastAsia"/>
        </w:rPr>
        <w:t xml:space="preserve"> </w:t>
      </w:r>
      <w:r>
        <w:rPr>
          <w:rFonts w:hint="eastAsia"/>
        </w:rPr>
        <w:t>0.4 m</w:t>
      </w:r>
      <w:r>
        <w:rPr>
          <w:rFonts w:hint="eastAsia"/>
        </w:rPr>
        <w:t>。充电设备的布置不应妨碍其他车辆的充电和通行。同时应采取保护充电设备及操作人员安全的措施。</w:t>
      </w:r>
    </w:p>
    <w:p w:rsidR="008E2030" w:rsidRDefault="00722927">
      <w:pPr>
        <w:pStyle w:val="affffffffa"/>
        <w:spacing w:line="288" w:lineRule="auto"/>
      </w:pPr>
      <w:r>
        <w:rPr>
          <w:rFonts w:hint="eastAsia"/>
        </w:rPr>
        <w:t>供配电装置的布置应符合</w:t>
      </w:r>
      <w:r>
        <w:rPr>
          <w:rFonts w:hint="eastAsia"/>
        </w:rPr>
        <w:t xml:space="preserve"> GB 50053 </w:t>
      </w:r>
      <w:r>
        <w:rPr>
          <w:rFonts w:hint="eastAsia"/>
        </w:rPr>
        <w:t>的有关规定，且应便于安装、操作、搬运、检修和调试。</w:t>
      </w:r>
    </w:p>
    <w:p w:rsidR="008E2030" w:rsidRDefault="00722927">
      <w:pPr>
        <w:pStyle w:val="affffffffa"/>
        <w:spacing w:line="288" w:lineRule="auto"/>
      </w:pPr>
      <w:proofErr w:type="gramStart"/>
      <w:r>
        <w:rPr>
          <w:rFonts w:hint="eastAsia"/>
        </w:rPr>
        <w:t>充电桩距建筑物</w:t>
      </w:r>
      <w:proofErr w:type="gramEnd"/>
      <w:r>
        <w:rPr>
          <w:rFonts w:hint="eastAsia"/>
        </w:rPr>
        <w:t>应不小于</w:t>
      </w:r>
      <w:r>
        <w:rPr>
          <w:rFonts w:hint="eastAsia"/>
        </w:rPr>
        <w:t xml:space="preserve"> 0.8 m</w:t>
      </w:r>
      <w:r>
        <w:rPr>
          <w:rFonts w:hint="eastAsia"/>
        </w:rPr>
        <w:t>，桩间距应不小于</w:t>
      </w:r>
      <w:r>
        <w:rPr>
          <w:rFonts w:hint="eastAsia"/>
        </w:rPr>
        <w:t xml:space="preserve"> 1.5 m</w:t>
      </w:r>
      <w:r>
        <w:rPr>
          <w:rFonts w:hint="eastAsia"/>
        </w:rPr>
        <w:t>，不应占用消防通道。</w:t>
      </w:r>
    </w:p>
    <w:p w:rsidR="008E2030" w:rsidRDefault="00722927">
      <w:pPr>
        <w:pStyle w:val="affffffffa"/>
        <w:spacing w:line="288" w:lineRule="auto"/>
      </w:pPr>
      <w:r>
        <w:rPr>
          <w:rFonts w:hint="eastAsia"/>
        </w:rPr>
        <w:t>充电站与民用建筑防火间距应不小于</w:t>
      </w:r>
      <w:r>
        <w:rPr>
          <w:rFonts w:hint="eastAsia"/>
        </w:rPr>
        <w:t xml:space="preserve"> 6 m</w:t>
      </w:r>
      <w:r>
        <w:rPr>
          <w:rFonts w:hint="eastAsia"/>
        </w:rPr>
        <w:t>，不应设置在地下四层及以下区域，室内充电站应符合</w:t>
      </w:r>
      <w:r>
        <w:rPr>
          <w:rFonts w:hint="eastAsia"/>
        </w:rPr>
        <w:t xml:space="preserve"> GB/T 50966 </w:t>
      </w:r>
      <w:r>
        <w:rPr>
          <w:rFonts w:hint="eastAsia"/>
        </w:rPr>
        <w:t>的防火要求。</w:t>
      </w:r>
    </w:p>
    <w:p w:rsidR="008E2030" w:rsidRDefault="00722927">
      <w:pPr>
        <w:pStyle w:val="affc"/>
        <w:spacing w:before="240" w:after="240"/>
      </w:pPr>
      <w:bookmarkStart w:id="53" w:name="_Toc209019632"/>
      <w:r>
        <w:t>基础设施建设</w:t>
      </w:r>
      <w:bookmarkEnd w:id="53"/>
    </w:p>
    <w:p w:rsidR="008E2030" w:rsidRDefault="00722927">
      <w:pPr>
        <w:pStyle w:val="affd"/>
        <w:spacing w:before="120" w:after="120"/>
      </w:pPr>
      <w:r>
        <w:t>供配电系统</w:t>
      </w:r>
    </w:p>
    <w:p w:rsidR="008E2030" w:rsidRDefault="00722927">
      <w:pPr>
        <w:pStyle w:val="affffffffa"/>
        <w:spacing w:line="288" w:lineRule="auto"/>
      </w:pPr>
      <w:r>
        <w:rPr>
          <w:rFonts w:hint="eastAsia"/>
        </w:rPr>
        <w:t>充电站供配电系统应符合</w:t>
      </w:r>
      <w:r>
        <w:rPr>
          <w:rFonts w:hint="eastAsia"/>
        </w:rPr>
        <w:t xml:space="preserve"> GB 50052 </w:t>
      </w:r>
      <w:r>
        <w:rPr>
          <w:rFonts w:hint="eastAsia"/>
        </w:rPr>
        <w:t>的有关规定。</w:t>
      </w:r>
    </w:p>
    <w:p w:rsidR="008E2030" w:rsidRDefault="00722927">
      <w:pPr>
        <w:pStyle w:val="affffffffa"/>
        <w:spacing w:line="288" w:lineRule="auto"/>
      </w:pPr>
      <w:r>
        <w:rPr>
          <w:rFonts w:hint="eastAsia"/>
        </w:rPr>
        <w:t>应设置独立配电房，采用</w:t>
      </w:r>
      <w:r>
        <w:rPr>
          <w:rFonts w:hint="eastAsia"/>
        </w:rPr>
        <w:t xml:space="preserve"> </w:t>
      </w:r>
      <w:r>
        <w:rPr>
          <w:rFonts w:hint="eastAsia"/>
        </w:rPr>
        <w:t xml:space="preserve">380V </w:t>
      </w:r>
      <w:r>
        <w:rPr>
          <w:rFonts w:hint="eastAsia"/>
        </w:rPr>
        <w:t>三相五线制供电；</w:t>
      </w:r>
      <w:r>
        <w:rPr>
          <w:rFonts w:hint="eastAsia"/>
        </w:rPr>
        <w:t xml:space="preserve">120 kW </w:t>
      </w:r>
      <w:r>
        <w:rPr>
          <w:rFonts w:hint="eastAsia"/>
        </w:rPr>
        <w:t>以上快</w:t>
      </w:r>
      <w:proofErr w:type="gramStart"/>
      <w:r>
        <w:rPr>
          <w:rFonts w:hint="eastAsia"/>
        </w:rPr>
        <w:t>充桩应配备</w:t>
      </w:r>
      <w:proofErr w:type="gramEnd"/>
      <w:r>
        <w:rPr>
          <w:rFonts w:hint="eastAsia"/>
        </w:rPr>
        <w:t>专用变压器。</w:t>
      </w:r>
    </w:p>
    <w:p w:rsidR="008E2030" w:rsidRDefault="00722927">
      <w:pPr>
        <w:pStyle w:val="affffffffa"/>
        <w:spacing w:line="288" w:lineRule="auto"/>
      </w:pPr>
      <w:r>
        <w:rPr>
          <w:rFonts w:hint="eastAsia"/>
        </w:rPr>
        <w:t>大功率（≥</w:t>
      </w:r>
      <w:r>
        <w:rPr>
          <w:rFonts w:hint="eastAsia"/>
        </w:rPr>
        <w:t>250 kW</w:t>
      </w:r>
      <w:r>
        <w:rPr>
          <w:rFonts w:hint="eastAsia"/>
        </w:rPr>
        <w:t>）</w:t>
      </w:r>
      <w:proofErr w:type="gramStart"/>
      <w:r>
        <w:rPr>
          <w:rFonts w:hint="eastAsia"/>
        </w:rPr>
        <w:t>超充站应</w:t>
      </w:r>
      <w:proofErr w:type="gramEnd"/>
      <w:r>
        <w:rPr>
          <w:rFonts w:hint="eastAsia"/>
        </w:rPr>
        <w:t>匹配</w:t>
      </w:r>
      <w:r>
        <w:rPr>
          <w:rFonts w:hint="eastAsia"/>
        </w:rPr>
        <w:t xml:space="preserve"> 10 kV </w:t>
      </w:r>
      <w:r>
        <w:rPr>
          <w:rFonts w:hint="eastAsia"/>
        </w:rPr>
        <w:t>及以上高压配电，确保电网稳定性。宜采用“光储充一体化”</w:t>
      </w:r>
      <w:r>
        <w:rPr>
          <w:rFonts w:hint="eastAsia"/>
        </w:rPr>
        <w:t xml:space="preserve"> </w:t>
      </w:r>
      <w:r>
        <w:rPr>
          <w:rFonts w:hint="eastAsia"/>
        </w:rPr>
        <w:t>设计，搭配储能系统以削峰填谷，降低电网冲击。</w:t>
      </w:r>
    </w:p>
    <w:p w:rsidR="008E2030" w:rsidRDefault="00722927">
      <w:pPr>
        <w:pStyle w:val="affffffffa"/>
        <w:spacing w:line="288" w:lineRule="auto"/>
      </w:pPr>
      <w:r>
        <w:rPr>
          <w:rFonts w:hint="eastAsia"/>
        </w:rPr>
        <w:t>中低压配电系统宜采用单母线或单母线分段接线，低压接地系统应采用</w:t>
      </w:r>
      <w:r>
        <w:rPr>
          <w:rFonts w:hint="eastAsia"/>
        </w:rPr>
        <w:t xml:space="preserve"> TN-S </w:t>
      </w:r>
      <w:r>
        <w:rPr>
          <w:rFonts w:hint="eastAsia"/>
        </w:rPr>
        <w:t>系统；当现有低压接地为</w:t>
      </w:r>
      <w:r>
        <w:rPr>
          <w:rFonts w:hint="eastAsia"/>
        </w:rPr>
        <w:t xml:space="preserve"> TN-C </w:t>
      </w:r>
      <w:r>
        <w:rPr>
          <w:rFonts w:hint="eastAsia"/>
        </w:rPr>
        <w:t>系统时，应改为</w:t>
      </w:r>
      <w:r>
        <w:rPr>
          <w:rFonts w:hint="eastAsia"/>
        </w:rPr>
        <w:t xml:space="preserve"> TN-C-S </w:t>
      </w:r>
      <w:r>
        <w:rPr>
          <w:rFonts w:hint="eastAsia"/>
        </w:rPr>
        <w:t>系统。</w:t>
      </w:r>
    </w:p>
    <w:p w:rsidR="008E2030" w:rsidRDefault="00722927">
      <w:pPr>
        <w:pStyle w:val="affffffffa"/>
        <w:spacing w:line="288" w:lineRule="auto"/>
      </w:pPr>
      <w:r>
        <w:rPr>
          <w:rFonts w:hint="eastAsia"/>
        </w:rPr>
        <w:t>低压进出线开关、分段开关宜采用断路器。来自不同电源的低压进线断路器和低压分段断路器之间，应设置防止不同电源并联运行的机械闭锁和电气联锁装置。</w:t>
      </w:r>
    </w:p>
    <w:p w:rsidR="008E2030" w:rsidRDefault="00722927">
      <w:pPr>
        <w:pStyle w:val="affffffffa"/>
        <w:spacing w:line="288" w:lineRule="auto"/>
      </w:pPr>
      <w:r>
        <w:rPr>
          <w:rFonts w:hint="eastAsia"/>
        </w:rPr>
        <w:t>低</w:t>
      </w:r>
      <w:r>
        <w:rPr>
          <w:rFonts w:hint="eastAsia"/>
        </w:rPr>
        <w:t>压进线断路器宜具有短路瞬时、短路短延时、长延时和</w:t>
      </w:r>
      <w:r>
        <w:rPr>
          <w:rFonts w:hint="eastAsia"/>
        </w:rPr>
        <w:t xml:space="preserve"> A </w:t>
      </w:r>
      <w:r>
        <w:rPr>
          <w:rFonts w:hint="eastAsia"/>
        </w:rPr>
        <w:t>型漏电保护功能，</w:t>
      </w:r>
      <w:proofErr w:type="gramStart"/>
      <w:r>
        <w:rPr>
          <w:rFonts w:hint="eastAsia"/>
        </w:rPr>
        <w:t>宜设置分励</w:t>
      </w:r>
      <w:proofErr w:type="gramEnd"/>
      <w:r>
        <w:rPr>
          <w:rFonts w:hint="eastAsia"/>
        </w:rPr>
        <w:t>脱扣装置，不宜设置失</w:t>
      </w:r>
      <w:r>
        <w:rPr>
          <w:rFonts w:hint="eastAsia"/>
        </w:rPr>
        <w:t>（</w:t>
      </w:r>
      <w:r>
        <w:rPr>
          <w:rFonts w:hint="eastAsia"/>
        </w:rPr>
        <w:t>低</w:t>
      </w:r>
      <w:r>
        <w:rPr>
          <w:rFonts w:hint="eastAsia"/>
        </w:rPr>
        <w:t>）</w:t>
      </w:r>
      <w:r>
        <w:rPr>
          <w:rFonts w:hint="eastAsia"/>
        </w:rPr>
        <w:t>压脱扣装置。</w:t>
      </w:r>
    </w:p>
    <w:p w:rsidR="008E2030" w:rsidRDefault="00722927">
      <w:pPr>
        <w:pStyle w:val="affe"/>
        <w:spacing w:beforeLines="0" w:before="0" w:afterLines="0" w:after="0" w:line="288" w:lineRule="auto"/>
        <w:rPr>
          <w:rFonts w:ascii="宋体" w:eastAsia="宋体"/>
        </w:rPr>
      </w:pPr>
      <w:r>
        <w:rPr>
          <w:rFonts w:ascii="宋体" w:eastAsia="宋体" w:hint="eastAsia"/>
        </w:rPr>
        <w:t>开关柜宜选用小型化、无油化、免维修或</w:t>
      </w:r>
      <w:proofErr w:type="gramStart"/>
      <w:r>
        <w:rPr>
          <w:rFonts w:ascii="宋体" w:eastAsia="宋体" w:hint="eastAsia"/>
        </w:rPr>
        <w:t>少维护</w:t>
      </w:r>
      <w:proofErr w:type="gramEnd"/>
      <w:r>
        <w:rPr>
          <w:rFonts w:ascii="宋体" w:eastAsia="宋体" w:hint="eastAsia"/>
        </w:rPr>
        <w:t>的产品。</w:t>
      </w:r>
    </w:p>
    <w:p w:rsidR="008E2030" w:rsidRDefault="00722927">
      <w:pPr>
        <w:pStyle w:val="affffffffa"/>
        <w:spacing w:line="288" w:lineRule="auto"/>
      </w:pPr>
      <w:r>
        <w:rPr>
          <w:rFonts w:hint="eastAsia"/>
        </w:rPr>
        <w:t>无功功率补偿装置</w:t>
      </w:r>
      <w:proofErr w:type="gramStart"/>
      <w:r>
        <w:rPr>
          <w:rFonts w:hint="eastAsia"/>
        </w:rPr>
        <w:t>宜设置</w:t>
      </w:r>
      <w:proofErr w:type="gramEnd"/>
      <w:r>
        <w:rPr>
          <w:rFonts w:hint="eastAsia"/>
        </w:rPr>
        <w:t>在变压器低压侧，补偿容量宜按最大负荷时变压器高压侧功率因数不低于</w:t>
      </w:r>
      <w:r>
        <w:rPr>
          <w:rFonts w:hint="eastAsia"/>
        </w:rPr>
        <w:t xml:space="preserve"> 0.95 </w:t>
      </w:r>
      <w:r>
        <w:rPr>
          <w:rFonts w:hint="eastAsia"/>
        </w:rPr>
        <w:t>确定。</w:t>
      </w:r>
    </w:p>
    <w:p w:rsidR="008E2030" w:rsidRDefault="00722927">
      <w:pPr>
        <w:pStyle w:val="affe"/>
        <w:spacing w:beforeLines="0" w:before="0" w:afterLines="0" w:after="0" w:line="288" w:lineRule="auto"/>
        <w:rPr>
          <w:rFonts w:ascii="宋体" w:eastAsia="宋体"/>
        </w:rPr>
      </w:pPr>
      <w:r>
        <w:rPr>
          <w:rFonts w:ascii="宋体" w:eastAsia="宋体" w:hint="eastAsia"/>
        </w:rPr>
        <w:t>当用电设备的自然功率因数满足变压器高压侧功率因数不低于</w:t>
      </w:r>
      <w:r>
        <w:rPr>
          <w:rFonts w:ascii="宋体" w:eastAsia="宋体" w:hint="eastAsia"/>
        </w:rPr>
        <w:t xml:space="preserve"> 0.95 </w:t>
      </w:r>
      <w:r>
        <w:rPr>
          <w:rFonts w:ascii="宋体" w:eastAsia="宋体" w:hint="eastAsia"/>
        </w:rPr>
        <w:t>时，可不加装低压无功功率补偿装置。</w:t>
      </w:r>
    </w:p>
    <w:p w:rsidR="008E2030" w:rsidRDefault="00722927">
      <w:pPr>
        <w:pStyle w:val="affd"/>
        <w:spacing w:before="120" w:after="120"/>
      </w:pPr>
      <w:r>
        <w:t>线缆与管路敷设</w:t>
      </w:r>
    </w:p>
    <w:p w:rsidR="008E2030" w:rsidRDefault="00722927">
      <w:pPr>
        <w:pStyle w:val="affffffffa"/>
        <w:spacing w:line="288" w:lineRule="auto"/>
      </w:pPr>
      <w:r>
        <w:rPr>
          <w:rFonts w:hint="eastAsia"/>
        </w:rPr>
        <w:t>中压电力电缆宜选用铜芯交联聚乙烯绝缘类型，低压电力电缆宜选用铜芯交联聚乙烯绝缘类型，也可选用铜芯聚氯乙烯绝缘类型。</w:t>
      </w:r>
    </w:p>
    <w:p w:rsidR="008E2030" w:rsidRDefault="00722927">
      <w:pPr>
        <w:pStyle w:val="affe"/>
        <w:spacing w:beforeLines="0" w:before="0" w:afterLines="0" w:after="0" w:line="288" w:lineRule="auto"/>
        <w:rPr>
          <w:rFonts w:ascii="宋体" w:eastAsia="宋体"/>
        </w:rPr>
      </w:pPr>
      <w:r>
        <w:rPr>
          <w:rFonts w:ascii="宋体" w:eastAsia="宋体" w:hint="eastAsia"/>
        </w:rPr>
        <w:t>低压三相回路宜选用</w:t>
      </w:r>
      <w:r>
        <w:rPr>
          <w:rFonts w:ascii="宋体" w:eastAsia="宋体" w:hint="eastAsia"/>
        </w:rPr>
        <w:t xml:space="preserve"> 5 </w:t>
      </w:r>
      <w:r>
        <w:rPr>
          <w:rFonts w:ascii="宋体" w:eastAsia="宋体" w:hint="eastAsia"/>
        </w:rPr>
        <w:t>芯电缆，单相回路宜选用</w:t>
      </w:r>
      <w:r>
        <w:rPr>
          <w:rFonts w:ascii="宋体" w:eastAsia="宋体" w:hint="eastAsia"/>
        </w:rPr>
        <w:t xml:space="preserve"> 3 </w:t>
      </w:r>
      <w:r>
        <w:rPr>
          <w:rFonts w:ascii="宋体" w:eastAsia="宋体" w:hint="eastAsia"/>
        </w:rPr>
        <w:t>芯电缆，且电缆中性线截面选择应符合</w:t>
      </w:r>
      <w:r>
        <w:rPr>
          <w:rFonts w:ascii="宋体" w:eastAsia="宋体" w:hint="eastAsia"/>
        </w:rPr>
        <w:t xml:space="preserve">GB 50054 </w:t>
      </w:r>
      <w:r>
        <w:rPr>
          <w:rFonts w:ascii="宋体" w:eastAsia="宋体" w:hint="eastAsia"/>
        </w:rPr>
        <w:t>的有关规定。</w:t>
      </w:r>
    </w:p>
    <w:p w:rsidR="008E2030" w:rsidRDefault="00722927">
      <w:pPr>
        <w:pStyle w:val="affe"/>
        <w:spacing w:beforeLines="0" w:before="0" w:afterLines="0" w:after="0" w:line="288" w:lineRule="auto"/>
        <w:rPr>
          <w:rFonts w:ascii="宋体" w:eastAsia="宋体"/>
        </w:rPr>
      </w:pPr>
      <w:r>
        <w:rPr>
          <w:rFonts w:ascii="宋体" w:eastAsia="宋体" w:hint="eastAsia"/>
        </w:rPr>
        <w:t>三相用电设备的电力电缆，其外护套宜采用钢带铠装。单芯电缆外护套不应采用导磁性材料铠装。</w:t>
      </w:r>
    </w:p>
    <w:p w:rsidR="008E2030" w:rsidRDefault="00722927">
      <w:pPr>
        <w:pStyle w:val="affe"/>
        <w:spacing w:beforeLines="0" w:before="0" w:afterLines="0" w:after="0" w:line="288" w:lineRule="auto"/>
      </w:pPr>
      <w:r>
        <w:rPr>
          <w:rFonts w:ascii="宋体" w:eastAsia="宋体" w:hint="eastAsia"/>
        </w:rPr>
        <w:t>交流单芯电缆不宜单根穿钢管敷设；当需要单根穿管时，应采用非导磁管材，也可采用经过磁路分隔处理的钢管。</w:t>
      </w:r>
    </w:p>
    <w:p w:rsidR="008E2030" w:rsidRDefault="00722927">
      <w:pPr>
        <w:pStyle w:val="affffffffa"/>
        <w:spacing w:line="288" w:lineRule="auto"/>
      </w:pPr>
      <w:r>
        <w:rPr>
          <w:rFonts w:hint="eastAsia"/>
        </w:rPr>
        <w:t>强电管路宜采用镀锌钢管暗敷，埋深应不小于</w:t>
      </w:r>
      <w:r>
        <w:rPr>
          <w:rFonts w:hint="eastAsia"/>
        </w:rPr>
        <w:t xml:space="preserve"> 0.7 m</w:t>
      </w:r>
      <w:r>
        <w:rPr>
          <w:rFonts w:hint="eastAsia"/>
        </w:rPr>
        <w:t>；弱电管路与强电间距应不小于</w:t>
      </w:r>
      <w:r>
        <w:rPr>
          <w:rFonts w:hint="eastAsia"/>
        </w:rPr>
        <w:t xml:space="preserve"> 0.3 m</w:t>
      </w:r>
      <w:r>
        <w:rPr>
          <w:rFonts w:hint="eastAsia"/>
        </w:rPr>
        <w:t>。</w:t>
      </w:r>
    </w:p>
    <w:p w:rsidR="008E2030" w:rsidRDefault="00722927">
      <w:pPr>
        <w:pStyle w:val="affffffffa"/>
        <w:spacing w:line="288" w:lineRule="auto"/>
      </w:pPr>
      <w:r>
        <w:rPr>
          <w:rFonts w:hint="eastAsia"/>
        </w:rPr>
        <w:t>宜采用阻燃电缆，阻燃等级不低于</w:t>
      </w:r>
      <w:r>
        <w:rPr>
          <w:rFonts w:hint="eastAsia"/>
        </w:rPr>
        <w:t xml:space="preserve"> B1 </w:t>
      </w:r>
      <w:r>
        <w:rPr>
          <w:rFonts w:hint="eastAsia"/>
        </w:rPr>
        <w:t>级。</w:t>
      </w:r>
    </w:p>
    <w:p w:rsidR="008E2030" w:rsidRDefault="00722927">
      <w:pPr>
        <w:pStyle w:val="affd"/>
        <w:spacing w:before="120" w:after="120"/>
      </w:pPr>
      <w:r>
        <w:rPr>
          <w:rFonts w:hint="eastAsia"/>
        </w:rPr>
        <w:lastRenderedPageBreak/>
        <w:t>排水防水</w:t>
      </w:r>
    </w:p>
    <w:p w:rsidR="008E2030" w:rsidRDefault="00722927">
      <w:pPr>
        <w:pStyle w:val="affe"/>
        <w:spacing w:beforeLines="0" w:before="0" w:afterLines="0" w:after="0" w:line="288" w:lineRule="auto"/>
        <w:rPr>
          <w:rFonts w:ascii="宋体" w:eastAsia="宋体"/>
        </w:rPr>
      </w:pPr>
      <w:r>
        <w:rPr>
          <w:rFonts w:ascii="宋体" w:eastAsia="宋体" w:hint="eastAsia"/>
        </w:rPr>
        <w:t>站区雨水可通过截水沟或雨水口收集后</w:t>
      </w:r>
      <w:r>
        <w:rPr>
          <w:rFonts w:ascii="宋体" w:eastAsia="宋体" w:hint="eastAsia"/>
        </w:rPr>
        <w:t>排入</w:t>
      </w:r>
      <w:r>
        <w:rPr>
          <w:rFonts w:ascii="宋体" w:eastAsia="宋体" w:hint="eastAsia"/>
        </w:rPr>
        <w:t>市政雨水系统。雨水排水系统设计宜采用有组织排水方式。当不具备集中排水条件时</w:t>
      </w:r>
      <w:r>
        <w:rPr>
          <w:rFonts w:ascii="宋体" w:eastAsia="宋体" w:hint="eastAsia"/>
        </w:rPr>
        <w:t>，</w:t>
      </w:r>
      <w:r>
        <w:rPr>
          <w:rFonts w:ascii="宋体" w:eastAsia="宋体" w:hint="eastAsia"/>
        </w:rPr>
        <w:t>站内地面雨水可散流排出站外。</w:t>
      </w:r>
    </w:p>
    <w:p w:rsidR="008E2030" w:rsidRDefault="00722927">
      <w:pPr>
        <w:pStyle w:val="affffffffa"/>
        <w:spacing w:line="288" w:lineRule="auto"/>
      </w:pPr>
      <w:r>
        <w:rPr>
          <w:rFonts w:hint="eastAsia"/>
        </w:rPr>
        <w:t>桩基宜高出地面</w:t>
      </w:r>
      <w:r>
        <w:rPr>
          <w:rFonts w:hint="eastAsia"/>
        </w:rPr>
        <w:t xml:space="preserve"> 15 cm</w:t>
      </w:r>
      <w:r>
        <w:rPr>
          <w:rFonts w:hint="eastAsia"/>
        </w:rPr>
        <w:t>，周边设置排水槽。</w:t>
      </w:r>
    </w:p>
    <w:p w:rsidR="008E2030" w:rsidRDefault="00722927">
      <w:pPr>
        <w:pStyle w:val="affc"/>
        <w:spacing w:before="240" w:after="240"/>
      </w:pPr>
      <w:bookmarkStart w:id="54" w:name="_Toc209019633"/>
      <w:r>
        <w:rPr>
          <w:rFonts w:hint="eastAsia"/>
        </w:rPr>
        <w:t>交流充电桩</w:t>
      </w:r>
      <w:bookmarkEnd w:id="54"/>
    </w:p>
    <w:p w:rsidR="008E2030" w:rsidRDefault="00722927">
      <w:pPr>
        <w:pStyle w:val="affd"/>
        <w:spacing w:before="120" w:after="120"/>
      </w:pPr>
      <w:r>
        <w:rPr>
          <w:rFonts w:hint="eastAsia"/>
        </w:rPr>
        <w:t>技术要求</w:t>
      </w:r>
    </w:p>
    <w:p w:rsidR="008E2030" w:rsidRDefault="00722927">
      <w:pPr>
        <w:pStyle w:val="affffffffa"/>
        <w:spacing w:line="288" w:lineRule="auto"/>
      </w:pPr>
      <w:r>
        <w:rPr>
          <w:rFonts w:hint="eastAsia"/>
        </w:rPr>
        <w:t>交流充电桩额定电流小于或等于</w:t>
      </w:r>
      <w:r>
        <w:rPr>
          <w:rFonts w:hint="eastAsia"/>
        </w:rPr>
        <w:t xml:space="preserve"> 32 A </w:t>
      </w:r>
      <w:r>
        <w:rPr>
          <w:rFonts w:hint="eastAsia"/>
        </w:rPr>
        <w:t>时，可采用单相</w:t>
      </w:r>
      <w:r>
        <w:rPr>
          <w:rFonts w:hint="eastAsia"/>
        </w:rPr>
        <w:t xml:space="preserve"> 220 V/</w:t>
      </w:r>
      <w:r>
        <w:rPr>
          <w:rFonts w:hint="eastAsia"/>
        </w:rPr>
        <w:t>三相</w:t>
      </w:r>
      <w:r>
        <w:rPr>
          <w:rFonts w:hint="eastAsia"/>
        </w:rPr>
        <w:t xml:space="preserve"> 380 V </w:t>
      </w:r>
      <w:r>
        <w:rPr>
          <w:rFonts w:hint="eastAsia"/>
        </w:rPr>
        <w:t>交流电源，额定电流大于</w:t>
      </w:r>
      <w:r>
        <w:rPr>
          <w:rFonts w:hint="eastAsia"/>
        </w:rPr>
        <w:t xml:space="preserve"> 32 A </w:t>
      </w:r>
      <w:r>
        <w:rPr>
          <w:rFonts w:hint="eastAsia"/>
        </w:rPr>
        <w:t>时，应采用三相</w:t>
      </w:r>
      <w:r>
        <w:rPr>
          <w:rFonts w:hint="eastAsia"/>
        </w:rPr>
        <w:t xml:space="preserve"> 380 V </w:t>
      </w:r>
      <w:r>
        <w:rPr>
          <w:rFonts w:hint="eastAsia"/>
        </w:rPr>
        <w:t>交流电源。</w:t>
      </w:r>
    </w:p>
    <w:p w:rsidR="008E2030" w:rsidRDefault="00722927">
      <w:pPr>
        <w:pStyle w:val="affffffffa"/>
        <w:spacing w:line="288" w:lineRule="auto"/>
      </w:pPr>
      <w:r>
        <w:rPr>
          <w:rFonts w:hint="eastAsia"/>
        </w:rPr>
        <w:t>交流</w:t>
      </w:r>
      <w:proofErr w:type="gramStart"/>
      <w:r>
        <w:rPr>
          <w:rFonts w:hint="eastAsia"/>
        </w:rPr>
        <w:t>充电桩应符合</w:t>
      </w:r>
      <w:proofErr w:type="gramEnd"/>
      <w:r>
        <w:rPr>
          <w:rFonts w:hint="eastAsia"/>
        </w:rPr>
        <w:t xml:space="preserve"> NB/T 33002 </w:t>
      </w:r>
      <w:r>
        <w:rPr>
          <w:rFonts w:hint="eastAsia"/>
        </w:rPr>
        <w:t>的规定。</w:t>
      </w:r>
    </w:p>
    <w:p w:rsidR="008E2030" w:rsidRDefault="00722927">
      <w:pPr>
        <w:pStyle w:val="affffffffa"/>
        <w:spacing w:line="288" w:lineRule="auto"/>
      </w:pPr>
      <w:r>
        <w:rPr>
          <w:rFonts w:hint="eastAsia"/>
        </w:rPr>
        <w:t>交流</w:t>
      </w:r>
      <w:proofErr w:type="gramStart"/>
      <w:r>
        <w:rPr>
          <w:rFonts w:hint="eastAsia"/>
        </w:rPr>
        <w:t>充电桩应具备</w:t>
      </w:r>
      <w:proofErr w:type="gramEnd"/>
      <w:r>
        <w:rPr>
          <w:rFonts w:hint="eastAsia"/>
        </w:rPr>
        <w:t>与上级监控管理系统的通信接口。</w:t>
      </w:r>
    </w:p>
    <w:p w:rsidR="008E2030" w:rsidRDefault="00722927">
      <w:pPr>
        <w:pStyle w:val="affffffffa"/>
        <w:spacing w:line="288" w:lineRule="auto"/>
      </w:pPr>
      <w:r>
        <w:rPr>
          <w:rFonts w:hint="eastAsia"/>
        </w:rPr>
        <w:t>交流充电桩宜采用接线端子或铜排与配电系统连接，多台交流充电桩的电源接线应符合供电</w:t>
      </w:r>
      <w:r>
        <w:rPr>
          <w:rFonts w:hint="eastAsia"/>
        </w:rPr>
        <w:t>电源三相平衡的要求。</w:t>
      </w:r>
    </w:p>
    <w:p w:rsidR="008E2030" w:rsidRDefault="00722927">
      <w:pPr>
        <w:pStyle w:val="affffffffa"/>
        <w:spacing w:line="288" w:lineRule="auto"/>
      </w:pPr>
      <w:r>
        <w:rPr>
          <w:rFonts w:hint="eastAsia"/>
        </w:rPr>
        <w:t>交流充电桩可采用落地式或壁挂式等安装方式；落地式充电桩安装基础应高出地面</w:t>
      </w:r>
      <w:r>
        <w:rPr>
          <w:rFonts w:hint="eastAsia"/>
        </w:rPr>
        <w:t xml:space="preserve"> 0.2 m </w:t>
      </w:r>
      <w:r>
        <w:rPr>
          <w:rFonts w:hint="eastAsia"/>
        </w:rPr>
        <w:t>及以上，可安装防撞栏。</w:t>
      </w:r>
    </w:p>
    <w:p w:rsidR="008E2030" w:rsidRDefault="00722927">
      <w:pPr>
        <w:pStyle w:val="affffffffa"/>
        <w:spacing w:line="288" w:lineRule="auto"/>
      </w:pPr>
      <w:r>
        <w:rPr>
          <w:rFonts w:hint="eastAsia"/>
        </w:rPr>
        <w:t>金属壳体应设置接地端子</w:t>
      </w:r>
      <w:r>
        <w:rPr>
          <w:rFonts w:hint="eastAsia"/>
        </w:rPr>
        <w:t>（</w:t>
      </w:r>
      <w:r>
        <w:rPr>
          <w:rFonts w:hint="eastAsia"/>
        </w:rPr>
        <w:t>螺栓</w:t>
      </w:r>
      <w:r>
        <w:rPr>
          <w:rFonts w:hint="eastAsia"/>
        </w:rPr>
        <w:t>）</w:t>
      </w:r>
      <w:r>
        <w:rPr>
          <w:rFonts w:hint="eastAsia"/>
        </w:rPr>
        <w:t>，并应有接地标志，保护接地端子应可靠接地。</w:t>
      </w:r>
    </w:p>
    <w:p w:rsidR="008E2030" w:rsidRDefault="00722927">
      <w:pPr>
        <w:pStyle w:val="affffffffa"/>
        <w:spacing w:line="288" w:lineRule="auto"/>
      </w:pPr>
      <w:r>
        <w:rPr>
          <w:rFonts w:hint="eastAsia"/>
        </w:rPr>
        <w:t>室外充电桩宜采取防雨和防尘措施，防护等级应不低于</w:t>
      </w:r>
      <w:r>
        <w:rPr>
          <w:rFonts w:hint="eastAsia"/>
        </w:rPr>
        <w:t xml:space="preserve"> GB/T 4208</w:t>
      </w:r>
      <w:r>
        <w:rPr>
          <w:rFonts w:hint="eastAsia"/>
        </w:rPr>
        <w:t>—</w:t>
      </w:r>
      <w:r>
        <w:rPr>
          <w:rFonts w:hint="eastAsia"/>
        </w:rPr>
        <w:t xml:space="preserve">2017 </w:t>
      </w:r>
      <w:r>
        <w:rPr>
          <w:rFonts w:hint="eastAsia"/>
        </w:rPr>
        <w:t>规定的</w:t>
      </w:r>
      <w:r>
        <w:rPr>
          <w:rFonts w:hint="eastAsia"/>
        </w:rPr>
        <w:t xml:space="preserve"> IP65</w:t>
      </w:r>
      <w:r>
        <w:rPr>
          <w:rFonts w:hint="eastAsia"/>
        </w:rPr>
        <w:t>。</w:t>
      </w:r>
    </w:p>
    <w:p w:rsidR="008E2030" w:rsidRDefault="00722927">
      <w:pPr>
        <w:pStyle w:val="affffffffa"/>
        <w:spacing w:line="288" w:lineRule="auto"/>
      </w:pPr>
      <w:r>
        <w:rPr>
          <w:rFonts w:hint="eastAsia"/>
        </w:rPr>
        <w:t>地下车库</w:t>
      </w:r>
      <w:proofErr w:type="gramStart"/>
      <w:r>
        <w:rPr>
          <w:rFonts w:hint="eastAsia"/>
        </w:rPr>
        <w:t>充电桩应采取</w:t>
      </w:r>
      <w:proofErr w:type="gramEnd"/>
      <w:r>
        <w:rPr>
          <w:rFonts w:hint="eastAsia"/>
        </w:rPr>
        <w:t>防潮和防凝露措施。</w:t>
      </w:r>
    </w:p>
    <w:p w:rsidR="008E2030" w:rsidRDefault="00722927">
      <w:pPr>
        <w:pStyle w:val="affd"/>
        <w:spacing w:before="120" w:after="120"/>
      </w:pPr>
      <w:r>
        <w:t>配置选型</w:t>
      </w:r>
    </w:p>
    <w:p w:rsidR="008E2030" w:rsidRDefault="00722927">
      <w:pPr>
        <w:pStyle w:val="affffe"/>
        <w:spacing w:line="288" w:lineRule="auto"/>
        <w:ind w:firstLine="420"/>
      </w:pPr>
      <w:r>
        <w:rPr>
          <w:rFonts w:hint="eastAsia"/>
        </w:rPr>
        <w:t>充电桩的配置选型见表</w:t>
      </w:r>
      <w:r>
        <w:rPr>
          <w:rFonts w:hint="eastAsia"/>
        </w:rPr>
        <w:t xml:space="preserve"> 1 </w:t>
      </w:r>
      <w:r>
        <w:rPr>
          <w:rFonts w:hint="eastAsia"/>
        </w:rPr>
        <w:t>。</w:t>
      </w:r>
    </w:p>
    <w:p w:rsidR="008E2030" w:rsidRDefault="00722927">
      <w:pPr>
        <w:pStyle w:val="aff2"/>
        <w:spacing w:before="120" w:after="120"/>
      </w:pPr>
      <w:r>
        <w:rPr>
          <w:rFonts w:hint="eastAsia"/>
        </w:rPr>
        <w:t>充电桩配置选型</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7"/>
        <w:gridCol w:w="2344"/>
        <w:gridCol w:w="2351"/>
        <w:gridCol w:w="2342"/>
      </w:tblGrid>
      <w:tr w:rsidR="008E2030">
        <w:trPr>
          <w:tblHeader/>
          <w:jc w:val="center"/>
        </w:trPr>
        <w:tc>
          <w:tcPr>
            <w:tcW w:w="2392" w:type="dxa"/>
            <w:tcBorders>
              <w:top w:val="single" w:sz="8" w:space="0" w:color="auto"/>
              <w:bottom w:val="single" w:sz="8" w:space="0" w:color="auto"/>
            </w:tcBorders>
            <w:shd w:val="clear" w:color="auto" w:fill="auto"/>
            <w:vAlign w:val="center"/>
          </w:tcPr>
          <w:p w:rsidR="008E2030" w:rsidRDefault="00722927">
            <w:pPr>
              <w:pStyle w:val="afffffffff2"/>
            </w:pPr>
            <w:r>
              <w:rPr>
                <w:rFonts w:hint="eastAsia"/>
              </w:rPr>
              <w:t>类型</w:t>
            </w:r>
          </w:p>
        </w:tc>
        <w:tc>
          <w:tcPr>
            <w:tcW w:w="2392" w:type="dxa"/>
            <w:tcBorders>
              <w:top w:val="single" w:sz="8" w:space="0" w:color="auto"/>
              <w:bottom w:val="single" w:sz="8" w:space="0" w:color="auto"/>
            </w:tcBorders>
            <w:shd w:val="clear" w:color="auto" w:fill="auto"/>
            <w:vAlign w:val="center"/>
          </w:tcPr>
          <w:p w:rsidR="008E2030" w:rsidRDefault="00722927">
            <w:pPr>
              <w:pStyle w:val="afffffffff2"/>
            </w:pPr>
            <w:r>
              <w:rPr>
                <w:rFonts w:hint="eastAsia"/>
              </w:rPr>
              <w:t>功率范围，</w:t>
            </w:r>
            <w:r>
              <w:rPr>
                <w:rFonts w:hint="eastAsia"/>
              </w:rPr>
              <w:t>kW</w:t>
            </w:r>
          </w:p>
        </w:tc>
        <w:tc>
          <w:tcPr>
            <w:tcW w:w="2393" w:type="dxa"/>
            <w:tcBorders>
              <w:top w:val="single" w:sz="8" w:space="0" w:color="auto"/>
              <w:bottom w:val="single" w:sz="8" w:space="0" w:color="auto"/>
            </w:tcBorders>
            <w:shd w:val="clear" w:color="auto" w:fill="auto"/>
            <w:vAlign w:val="center"/>
          </w:tcPr>
          <w:p w:rsidR="008E2030" w:rsidRDefault="00722927">
            <w:pPr>
              <w:pStyle w:val="afffffffff2"/>
            </w:pPr>
            <w:r>
              <w:rPr>
                <w:rFonts w:hint="eastAsia"/>
              </w:rPr>
              <w:t>充电速度</w:t>
            </w:r>
          </w:p>
        </w:tc>
        <w:tc>
          <w:tcPr>
            <w:tcW w:w="2393" w:type="dxa"/>
            <w:tcBorders>
              <w:top w:val="single" w:sz="8" w:space="0" w:color="auto"/>
              <w:bottom w:val="single" w:sz="8" w:space="0" w:color="auto"/>
            </w:tcBorders>
            <w:shd w:val="clear" w:color="auto" w:fill="auto"/>
            <w:vAlign w:val="center"/>
          </w:tcPr>
          <w:p w:rsidR="008E2030" w:rsidRDefault="00722927">
            <w:pPr>
              <w:pStyle w:val="afffffffff2"/>
            </w:pPr>
            <w:r>
              <w:rPr>
                <w:rFonts w:hint="eastAsia"/>
              </w:rPr>
              <w:t>适用场景</w:t>
            </w:r>
          </w:p>
        </w:tc>
      </w:tr>
      <w:tr w:rsidR="008E2030">
        <w:trPr>
          <w:jc w:val="center"/>
        </w:trPr>
        <w:tc>
          <w:tcPr>
            <w:tcW w:w="2392" w:type="dxa"/>
            <w:tcBorders>
              <w:top w:val="single" w:sz="8" w:space="0" w:color="auto"/>
            </w:tcBorders>
            <w:shd w:val="clear" w:color="auto" w:fill="auto"/>
            <w:vAlign w:val="center"/>
          </w:tcPr>
          <w:p w:rsidR="008E2030" w:rsidRDefault="00722927">
            <w:pPr>
              <w:pStyle w:val="afffffffff2"/>
            </w:pPr>
            <w:r>
              <w:rPr>
                <w:rFonts w:hint="eastAsia"/>
              </w:rPr>
              <w:t>交流慢充桩</w:t>
            </w:r>
          </w:p>
        </w:tc>
        <w:tc>
          <w:tcPr>
            <w:tcW w:w="2392" w:type="dxa"/>
            <w:tcBorders>
              <w:top w:val="single" w:sz="8" w:space="0" w:color="auto"/>
            </w:tcBorders>
            <w:shd w:val="clear" w:color="auto" w:fill="auto"/>
            <w:vAlign w:val="center"/>
          </w:tcPr>
          <w:p w:rsidR="008E2030" w:rsidRDefault="00722927">
            <w:pPr>
              <w:pStyle w:val="afffffffff2"/>
            </w:pPr>
            <w:r>
              <w:t>7</w:t>
            </w:r>
            <w:r>
              <w:rPr>
                <w:rFonts w:hAnsi="宋体" w:hint="eastAsia"/>
              </w:rPr>
              <w:t>～</w:t>
            </w:r>
            <w:r>
              <w:t>22</w:t>
            </w:r>
          </w:p>
        </w:tc>
        <w:tc>
          <w:tcPr>
            <w:tcW w:w="2393" w:type="dxa"/>
            <w:tcBorders>
              <w:top w:val="single" w:sz="8" w:space="0" w:color="auto"/>
            </w:tcBorders>
            <w:shd w:val="clear" w:color="auto" w:fill="auto"/>
            <w:vAlign w:val="center"/>
          </w:tcPr>
          <w:p w:rsidR="008E2030" w:rsidRDefault="00722927">
            <w:pPr>
              <w:pStyle w:val="afffffffff2"/>
            </w:pPr>
            <w:r>
              <w:rPr>
                <w:rFonts w:hint="eastAsia"/>
              </w:rPr>
              <w:t>4 h</w:t>
            </w:r>
            <w:r>
              <w:rPr>
                <w:rFonts w:hAnsi="宋体" w:hint="eastAsia"/>
              </w:rPr>
              <w:t>～</w:t>
            </w:r>
            <w:r>
              <w:rPr>
                <w:rFonts w:hint="eastAsia"/>
              </w:rPr>
              <w:t>8 h</w:t>
            </w:r>
            <w:r>
              <w:rPr>
                <w:rFonts w:hint="eastAsia"/>
              </w:rPr>
              <w:t>（满充）</w:t>
            </w:r>
          </w:p>
        </w:tc>
        <w:tc>
          <w:tcPr>
            <w:tcW w:w="2393" w:type="dxa"/>
            <w:tcBorders>
              <w:top w:val="single" w:sz="8" w:space="0" w:color="auto"/>
            </w:tcBorders>
            <w:shd w:val="clear" w:color="auto" w:fill="auto"/>
            <w:vAlign w:val="center"/>
          </w:tcPr>
          <w:p w:rsidR="008E2030" w:rsidRDefault="00722927">
            <w:pPr>
              <w:pStyle w:val="afffffffff2"/>
            </w:pPr>
            <w:r>
              <w:rPr>
                <w:rFonts w:hint="eastAsia"/>
              </w:rPr>
              <w:t>住宅小区、办公区</w:t>
            </w:r>
          </w:p>
        </w:tc>
      </w:tr>
      <w:tr w:rsidR="008E2030">
        <w:trPr>
          <w:jc w:val="center"/>
        </w:trPr>
        <w:tc>
          <w:tcPr>
            <w:tcW w:w="2392" w:type="dxa"/>
            <w:shd w:val="clear" w:color="auto" w:fill="auto"/>
            <w:vAlign w:val="center"/>
          </w:tcPr>
          <w:p w:rsidR="008E2030" w:rsidRDefault="00722927">
            <w:pPr>
              <w:pStyle w:val="afffffffff2"/>
            </w:pPr>
            <w:r>
              <w:rPr>
                <w:rFonts w:hint="eastAsia"/>
              </w:rPr>
              <w:t>风冷快充桩</w:t>
            </w:r>
          </w:p>
        </w:tc>
        <w:tc>
          <w:tcPr>
            <w:tcW w:w="2392" w:type="dxa"/>
            <w:shd w:val="clear" w:color="auto" w:fill="auto"/>
            <w:vAlign w:val="center"/>
          </w:tcPr>
          <w:p w:rsidR="008E2030" w:rsidRDefault="00722927">
            <w:pPr>
              <w:pStyle w:val="afffffffff2"/>
            </w:pPr>
            <w:r>
              <w:rPr>
                <w:rFonts w:hAnsi="宋体" w:hint="eastAsia"/>
              </w:rPr>
              <w:t>60</w:t>
            </w:r>
            <w:r>
              <w:rPr>
                <w:rFonts w:hAnsi="宋体" w:hint="eastAsia"/>
              </w:rPr>
              <w:t>～</w:t>
            </w:r>
            <w:r>
              <w:rPr>
                <w:rFonts w:hAnsi="宋体" w:hint="eastAsia"/>
              </w:rPr>
              <w:t>120</w:t>
            </w:r>
          </w:p>
        </w:tc>
        <w:tc>
          <w:tcPr>
            <w:tcW w:w="2393" w:type="dxa"/>
            <w:shd w:val="clear" w:color="auto" w:fill="auto"/>
            <w:vAlign w:val="center"/>
          </w:tcPr>
          <w:p w:rsidR="008E2030" w:rsidRDefault="00722927">
            <w:pPr>
              <w:pStyle w:val="afffffffff2"/>
            </w:pPr>
            <w:r>
              <w:rPr>
                <w:rFonts w:hint="eastAsia"/>
              </w:rPr>
              <w:t>30 min</w:t>
            </w:r>
            <w:r>
              <w:rPr>
                <w:rFonts w:hAnsi="宋体" w:hint="eastAsia"/>
              </w:rPr>
              <w:t>～</w:t>
            </w:r>
            <w:r>
              <w:rPr>
                <w:rFonts w:hint="eastAsia"/>
              </w:rPr>
              <w:t>60 min</w:t>
            </w:r>
            <w:r>
              <w:rPr>
                <w:rFonts w:hint="eastAsia"/>
              </w:rPr>
              <w:t>(</w:t>
            </w:r>
            <w:r>
              <w:rPr>
                <w:rFonts w:hint="eastAsia"/>
              </w:rPr>
              <w:t>80</w:t>
            </w:r>
            <w:r>
              <w:rPr>
                <w:rFonts w:hAnsi="宋体" w:hint="eastAsia"/>
              </w:rPr>
              <w:t>％</w:t>
            </w:r>
            <w:r>
              <w:rPr>
                <w:rFonts w:hint="eastAsia"/>
              </w:rPr>
              <w:t xml:space="preserve"> SOC</w:t>
            </w:r>
            <w:r>
              <w:rPr>
                <w:rFonts w:hint="eastAsia"/>
              </w:rPr>
              <w:t>)</w:t>
            </w:r>
          </w:p>
        </w:tc>
        <w:tc>
          <w:tcPr>
            <w:tcW w:w="2393" w:type="dxa"/>
            <w:shd w:val="clear" w:color="auto" w:fill="auto"/>
            <w:vAlign w:val="center"/>
          </w:tcPr>
          <w:p w:rsidR="008E2030" w:rsidRDefault="00722927">
            <w:pPr>
              <w:pStyle w:val="afffffffff2"/>
            </w:pPr>
            <w:r>
              <w:rPr>
                <w:rFonts w:hint="eastAsia"/>
              </w:rPr>
              <w:t>城市公共停车场</w:t>
            </w:r>
          </w:p>
        </w:tc>
      </w:tr>
      <w:tr w:rsidR="008E2030">
        <w:trPr>
          <w:jc w:val="center"/>
        </w:trPr>
        <w:tc>
          <w:tcPr>
            <w:tcW w:w="2392" w:type="dxa"/>
            <w:shd w:val="clear" w:color="auto" w:fill="auto"/>
            <w:vAlign w:val="center"/>
          </w:tcPr>
          <w:p w:rsidR="008E2030" w:rsidRDefault="00722927">
            <w:pPr>
              <w:pStyle w:val="afffffffff2"/>
            </w:pPr>
            <w:r>
              <w:rPr>
                <w:rFonts w:hint="eastAsia"/>
              </w:rPr>
              <w:t>液冷超充桩</w:t>
            </w:r>
          </w:p>
        </w:tc>
        <w:tc>
          <w:tcPr>
            <w:tcW w:w="2392" w:type="dxa"/>
            <w:shd w:val="clear" w:color="auto" w:fill="auto"/>
            <w:vAlign w:val="center"/>
          </w:tcPr>
          <w:p w:rsidR="008E2030" w:rsidRDefault="00722927">
            <w:pPr>
              <w:pStyle w:val="afffffffff2"/>
            </w:pPr>
            <w:r>
              <w:rPr>
                <w:rFonts w:hint="eastAsia"/>
              </w:rPr>
              <w:t>250</w:t>
            </w:r>
            <w:r>
              <w:rPr>
                <w:rFonts w:hAnsi="宋体" w:hint="eastAsia"/>
              </w:rPr>
              <w:t>～</w:t>
            </w:r>
            <w:r>
              <w:rPr>
                <w:rFonts w:hAnsi="宋体" w:hint="eastAsia"/>
              </w:rPr>
              <w:t>600</w:t>
            </w:r>
          </w:p>
        </w:tc>
        <w:tc>
          <w:tcPr>
            <w:tcW w:w="2393" w:type="dxa"/>
            <w:shd w:val="clear" w:color="auto" w:fill="auto"/>
            <w:vAlign w:val="center"/>
          </w:tcPr>
          <w:p w:rsidR="008E2030" w:rsidRDefault="00722927">
            <w:pPr>
              <w:pStyle w:val="afffffffff2"/>
            </w:pPr>
            <w:r>
              <w:rPr>
                <w:rFonts w:hint="eastAsia"/>
              </w:rPr>
              <w:t>5 min</w:t>
            </w:r>
            <w:r>
              <w:rPr>
                <w:rFonts w:hAnsi="宋体" w:hint="eastAsia"/>
              </w:rPr>
              <w:t>～</w:t>
            </w:r>
            <w:r>
              <w:rPr>
                <w:rFonts w:hint="eastAsia"/>
              </w:rPr>
              <w:t>15 min</w:t>
            </w:r>
            <w:r>
              <w:rPr>
                <w:rFonts w:hint="eastAsia"/>
              </w:rPr>
              <w:t>(</w:t>
            </w:r>
            <w:r>
              <w:rPr>
                <w:rFonts w:hint="eastAsia"/>
              </w:rPr>
              <w:t>80</w:t>
            </w:r>
            <w:r>
              <w:rPr>
                <w:rFonts w:hAnsi="宋体" w:hint="eastAsia"/>
              </w:rPr>
              <w:t>％</w:t>
            </w:r>
            <w:r>
              <w:rPr>
                <w:rFonts w:hint="eastAsia"/>
              </w:rPr>
              <w:t xml:space="preserve"> SOC</w:t>
            </w:r>
            <w:r>
              <w:rPr>
                <w:rFonts w:hint="eastAsia"/>
              </w:rPr>
              <w:t>)</w:t>
            </w:r>
          </w:p>
        </w:tc>
        <w:tc>
          <w:tcPr>
            <w:tcW w:w="2393" w:type="dxa"/>
            <w:shd w:val="clear" w:color="auto" w:fill="auto"/>
            <w:vAlign w:val="center"/>
          </w:tcPr>
          <w:p w:rsidR="008E2030" w:rsidRDefault="00722927">
            <w:pPr>
              <w:pStyle w:val="afffffffff2"/>
            </w:pPr>
            <w:r>
              <w:rPr>
                <w:rFonts w:hint="eastAsia"/>
              </w:rPr>
              <w:t>高速公路、物流枢纽</w:t>
            </w:r>
          </w:p>
        </w:tc>
      </w:tr>
    </w:tbl>
    <w:p w:rsidR="008E2030" w:rsidRDefault="00722927">
      <w:pPr>
        <w:pStyle w:val="affd"/>
        <w:spacing w:before="120" w:after="120"/>
      </w:pPr>
      <w:r>
        <w:t>智能化功能要求</w:t>
      </w:r>
    </w:p>
    <w:p w:rsidR="008E2030" w:rsidRDefault="00722927">
      <w:pPr>
        <w:pStyle w:val="affe"/>
        <w:spacing w:before="120" w:after="120"/>
      </w:pPr>
      <w:r>
        <w:rPr>
          <w:rFonts w:hint="eastAsia"/>
        </w:rPr>
        <w:t>通信协议</w:t>
      </w:r>
    </w:p>
    <w:p w:rsidR="008E2030" w:rsidRDefault="00722927">
      <w:pPr>
        <w:pStyle w:val="affffe"/>
        <w:spacing w:line="288" w:lineRule="auto"/>
        <w:ind w:firstLine="420"/>
      </w:pPr>
      <w:r>
        <w:rPr>
          <w:rFonts w:hint="eastAsia"/>
        </w:rPr>
        <w:t>应支持</w:t>
      </w:r>
      <w:r>
        <w:rPr>
          <w:rFonts w:hint="eastAsia"/>
        </w:rPr>
        <w:t xml:space="preserve"> 4G/5G+</w:t>
      </w:r>
      <w:r>
        <w:rPr>
          <w:rFonts w:hint="eastAsia"/>
        </w:rPr>
        <w:t>以太网双模通信，兼容</w:t>
      </w:r>
      <w:r>
        <w:rPr>
          <w:rFonts w:hint="eastAsia"/>
        </w:rPr>
        <w:t xml:space="preserve"> OCPP 1.6+</w:t>
      </w:r>
      <w:r>
        <w:rPr>
          <w:rFonts w:hint="eastAsia"/>
        </w:rPr>
        <w:t>协议</w:t>
      </w:r>
      <w:r>
        <w:rPr>
          <w:rFonts w:hint="eastAsia"/>
        </w:rPr>
        <w:t>1</w:t>
      </w:r>
      <w:r>
        <w:rPr>
          <w:rFonts w:hint="eastAsia"/>
        </w:rPr>
        <w:t>。</w:t>
      </w:r>
    </w:p>
    <w:p w:rsidR="008E2030" w:rsidRDefault="00722927">
      <w:pPr>
        <w:pStyle w:val="affe"/>
        <w:spacing w:before="120" w:after="120"/>
      </w:pPr>
      <w:r>
        <w:rPr>
          <w:rFonts w:hint="eastAsia"/>
        </w:rPr>
        <w:t>智能管控</w:t>
      </w:r>
    </w:p>
    <w:p w:rsidR="008E2030" w:rsidRDefault="00722927">
      <w:pPr>
        <w:pStyle w:val="affffffff9"/>
        <w:spacing w:line="288" w:lineRule="auto"/>
      </w:pPr>
      <w:r>
        <w:rPr>
          <w:rFonts w:hint="eastAsia"/>
        </w:rPr>
        <w:t>宜配备精度大于或等于</w:t>
      </w:r>
      <w:r>
        <w:rPr>
          <w:rFonts w:hint="eastAsia"/>
        </w:rPr>
        <w:t xml:space="preserve"> 1.0 </w:t>
      </w:r>
      <w:r>
        <w:rPr>
          <w:rFonts w:hint="eastAsia"/>
        </w:rPr>
        <w:t>级的智能计量装置、</w:t>
      </w:r>
      <w:proofErr w:type="gramStart"/>
      <w:r>
        <w:rPr>
          <w:rFonts w:hint="eastAsia"/>
        </w:rPr>
        <w:t>扫码或</w:t>
      </w:r>
      <w:proofErr w:type="gramEnd"/>
      <w:r>
        <w:rPr>
          <w:rFonts w:hint="eastAsia"/>
        </w:rPr>
        <w:t>无</w:t>
      </w:r>
      <w:proofErr w:type="gramStart"/>
      <w:r>
        <w:rPr>
          <w:rFonts w:hint="eastAsia"/>
        </w:rPr>
        <w:t>感</w:t>
      </w:r>
      <w:r>
        <w:rPr>
          <w:rFonts w:hint="eastAsia"/>
        </w:rPr>
        <w:t>支付</w:t>
      </w:r>
      <w:proofErr w:type="gramEnd"/>
      <w:r>
        <w:rPr>
          <w:rFonts w:hint="eastAsia"/>
        </w:rPr>
        <w:t>系统。</w:t>
      </w:r>
    </w:p>
    <w:p w:rsidR="008E2030" w:rsidRDefault="00722927">
      <w:pPr>
        <w:pStyle w:val="affffffff9"/>
        <w:spacing w:line="288" w:lineRule="auto"/>
      </w:pPr>
      <w:r>
        <w:rPr>
          <w:rFonts w:hint="eastAsia"/>
        </w:rPr>
        <w:t>应支持：</w:t>
      </w:r>
    </w:p>
    <w:p w:rsidR="008E2030" w:rsidRDefault="00722927">
      <w:pPr>
        <w:pStyle w:val="af5"/>
        <w:spacing w:line="288" w:lineRule="auto"/>
      </w:pPr>
      <w:r>
        <w:rPr>
          <w:rFonts w:hint="eastAsia"/>
        </w:rPr>
        <w:t>远程监控；</w:t>
      </w:r>
    </w:p>
    <w:p w:rsidR="008E2030" w:rsidRDefault="00722927">
      <w:pPr>
        <w:pStyle w:val="af5"/>
        <w:spacing w:line="288" w:lineRule="auto"/>
      </w:pPr>
      <w:r>
        <w:rPr>
          <w:rFonts w:hint="eastAsia"/>
        </w:rPr>
        <w:t>动态负荷分配；</w:t>
      </w:r>
    </w:p>
    <w:p w:rsidR="008E2030" w:rsidRDefault="00722927">
      <w:pPr>
        <w:pStyle w:val="af5"/>
        <w:spacing w:line="288" w:lineRule="auto"/>
      </w:pPr>
      <w:r>
        <w:rPr>
          <w:rFonts w:hint="eastAsia"/>
        </w:rPr>
        <w:t xml:space="preserve">OTA </w:t>
      </w:r>
      <w:r>
        <w:rPr>
          <w:rFonts w:hint="eastAsia"/>
        </w:rPr>
        <w:t>升级。</w:t>
      </w:r>
    </w:p>
    <w:p w:rsidR="008E2030" w:rsidRDefault="00722927">
      <w:pPr>
        <w:pStyle w:val="affe"/>
        <w:spacing w:before="120" w:after="120"/>
      </w:pPr>
      <w:r>
        <w:rPr>
          <w:rFonts w:hint="eastAsia"/>
        </w:rPr>
        <w:t>安全防护</w:t>
      </w:r>
    </w:p>
    <w:p w:rsidR="008E2030" w:rsidRDefault="00722927">
      <w:pPr>
        <w:pStyle w:val="affffe"/>
        <w:spacing w:line="288" w:lineRule="auto"/>
        <w:ind w:firstLine="420"/>
      </w:pPr>
      <w:r>
        <w:rPr>
          <w:rFonts w:hint="eastAsia"/>
        </w:rPr>
        <w:t>应具备以下安全防护功能：</w:t>
      </w:r>
    </w:p>
    <w:p w:rsidR="008E2030" w:rsidRDefault="00722927">
      <w:pPr>
        <w:pStyle w:val="af5"/>
        <w:numPr>
          <w:ilvl w:val="0"/>
          <w:numId w:val="32"/>
        </w:numPr>
        <w:spacing w:line="288" w:lineRule="auto"/>
      </w:pPr>
      <w:r>
        <w:rPr>
          <w:rFonts w:hint="eastAsia"/>
        </w:rPr>
        <w:t>过温断电（≥</w:t>
      </w:r>
      <w:r>
        <w:rPr>
          <w:rFonts w:hint="eastAsia"/>
        </w:rPr>
        <w:t xml:space="preserve">85 </w:t>
      </w:r>
      <w:r>
        <w:rPr>
          <w:rFonts w:hint="eastAsia"/>
        </w:rPr>
        <w:t>℃</w:t>
      </w:r>
      <w:r>
        <w:rPr>
          <w:rFonts w:hint="eastAsia"/>
        </w:rPr>
        <w:t xml:space="preserve"> </w:t>
      </w:r>
      <w:r>
        <w:rPr>
          <w:rFonts w:hint="eastAsia"/>
        </w:rPr>
        <w:t>触发）；</w:t>
      </w:r>
    </w:p>
    <w:p w:rsidR="008E2030" w:rsidRDefault="00722927">
      <w:pPr>
        <w:pStyle w:val="af5"/>
        <w:numPr>
          <w:ilvl w:val="0"/>
          <w:numId w:val="32"/>
        </w:numPr>
        <w:spacing w:line="288" w:lineRule="auto"/>
      </w:pPr>
      <w:r>
        <w:rPr>
          <w:rFonts w:hint="eastAsia"/>
        </w:rPr>
        <w:t>漏电保护（≤</w:t>
      </w:r>
      <w:r>
        <w:rPr>
          <w:rFonts w:hint="eastAsia"/>
        </w:rPr>
        <w:t xml:space="preserve">30 mA </w:t>
      </w:r>
      <w:r>
        <w:rPr>
          <w:rFonts w:hint="eastAsia"/>
        </w:rPr>
        <w:t>动作）；</w:t>
      </w:r>
    </w:p>
    <w:p w:rsidR="008E2030" w:rsidRDefault="00722927">
      <w:pPr>
        <w:pStyle w:val="af5"/>
        <w:numPr>
          <w:ilvl w:val="0"/>
          <w:numId w:val="32"/>
        </w:numPr>
        <w:spacing w:line="288" w:lineRule="auto"/>
      </w:pPr>
      <w:r>
        <w:rPr>
          <w:rFonts w:hint="eastAsia"/>
        </w:rPr>
        <w:lastRenderedPageBreak/>
        <w:t>充电</w:t>
      </w:r>
      <w:proofErr w:type="gramStart"/>
      <w:r>
        <w:rPr>
          <w:rFonts w:hint="eastAsia"/>
        </w:rPr>
        <w:t>枪电子</w:t>
      </w:r>
      <w:proofErr w:type="gramEnd"/>
      <w:r>
        <w:rPr>
          <w:rFonts w:hint="eastAsia"/>
        </w:rPr>
        <w:t>锁止；</w:t>
      </w:r>
    </w:p>
    <w:p w:rsidR="008E2030" w:rsidRDefault="00722927">
      <w:pPr>
        <w:pStyle w:val="af5"/>
        <w:numPr>
          <w:ilvl w:val="0"/>
          <w:numId w:val="32"/>
        </w:numPr>
        <w:spacing w:line="288" w:lineRule="auto"/>
      </w:pPr>
      <w:r>
        <w:rPr>
          <w:rFonts w:hint="eastAsia"/>
        </w:rPr>
        <w:t>过压、过流、短路保护功能，响应时间</w:t>
      </w:r>
      <w:r>
        <w:rPr>
          <w:rFonts w:hint="eastAsia"/>
        </w:rPr>
        <w:t xml:space="preserve"> </w:t>
      </w:r>
      <w:r>
        <w:rPr>
          <w:rFonts w:hint="eastAsia"/>
        </w:rPr>
        <w:t>≤</w:t>
      </w:r>
      <w:r>
        <w:rPr>
          <w:rFonts w:hint="eastAsia"/>
        </w:rPr>
        <w:t>0.1 s</w:t>
      </w:r>
      <w:r>
        <w:rPr>
          <w:rFonts w:hint="eastAsia"/>
        </w:rPr>
        <w:t>。</w:t>
      </w:r>
    </w:p>
    <w:p w:rsidR="008E2030" w:rsidRDefault="00722927">
      <w:pPr>
        <w:pStyle w:val="affe"/>
        <w:spacing w:before="120" w:after="120"/>
      </w:pPr>
      <w:r>
        <w:rPr>
          <w:rFonts w:hint="eastAsia"/>
        </w:rPr>
        <w:t>扩展能力</w:t>
      </w:r>
    </w:p>
    <w:p w:rsidR="008E2030" w:rsidRDefault="00722927">
      <w:pPr>
        <w:pStyle w:val="affffe"/>
        <w:spacing w:line="288" w:lineRule="auto"/>
        <w:ind w:firstLine="420"/>
      </w:pPr>
      <w:r>
        <w:rPr>
          <w:rFonts w:hint="eastAsia"/>
        </w:rPr>
        <w:t>应预留</w:t>
      </w:r>
      <w:r>
        <w:rPr>
          <w:rFonts w:hint="eastAsia"/>
        </w:rPr>
        <w:t xml:space="preserve"> V2G</w:t>
      </w:r>
      <w:r>
        <w:rPr>
          <w:rFonts w:hint="eastAsia"/>
        </w:rPr>
        <w:t>（</w:t>
      </w:r>
      <w:proofErr w:type="gramStart"/>
      <w:r>
        <w:rPr>
          <w:rFonts w:hint="eastAsia"/>
        </w:rPr>
        <w:t>车网互动</w:t>
      </w:r>
      <w:proofErr w:type="gramEnd"/>
      <w:r>
        <w:rPr>
          <w:rFonts w:hint="eastAsia"/>
        </w:rPr>
        <w:t>）接口，支持光伏储能系统接入。</w:t>
      </w:r>
    </w:p>
    <w:p w:rsidR="008E2030" w:rsidRDefault="00722927">
      <w:pPr>
        <w:pStyle w:val="affc"/>
        <w:spacing w:before="240" w:after="240"/>
      </w:pPr>
      <w:bookmarkStart w:id="55" w:name="_Toc209019634"/>
      <w:r>
        <w:t>运维管理</w:t>
      </w:r>
      <w:bookmarkEnd w:id="55"/>
    </w:p>
    <w:p w:rsidR="008E2030" w:rsidRDefault="00722927">
      <w:pPr>
        <w:pStyle w:val="affd"/>
        <w:spacing w:before="120" w:after="120"/>
      </w:pPr>
      <w:r>
        <w:t>日常巡检</w:t>
      </w:r>
    </w:p>
    <w:p w:rsidR="008E2030" w:rsidRDefault="00722927">
      <w:pPr>
        <w:pStyle w:val="affffffffa"/>
        <w:spacing w:line="288" w:lineRule="auto"/>
      </w:pPr>
      <w:r>
        <w:rPr>
          <w:rFonts w:hint="eastAsia"/>
        </w:rPr>
        <w:t>应每周检测接地电阻、电缆温升、屏幕显示状态等设备关键参数及运行状态。</w:t>
      </w:r>
    </w:p>
    <w:p w:rsidR="008E2030" w:rsidRDefault="00722927">
      <w:pPr>
        <w:pStyle w:val="affffffffa"/>
        <w:spacing w:line="288" w:lineRule="auto"/>
      </w:pPr>
      <w:r>
        <w:rPr>
          <w:rFonts w:hint="eastAsia"/>
        </w:rPr>
        <w:t>可采用无人机巡检，定期检查设备状态。</w:t>
      </w:r>
    </w:p>
    <w:p w:rsidR="008E2030" w:rsidRDefault="00722927">
      <w:pPr>
        <w:pStyle w:val="affd"/>
        <w:spacing w:before="120" w:after="120"/>
      </w:pPr>
      <w:r>
        <w:t>故障响应</w:t>
      </w:r>
    </w:p>
    <w:p w:rsidR="008E2030" w:rsidRDefault="00722927">
      <w:pPr>
        <w:pStyle w:val="affffffffa"/>
        <w:spacing w:line="288" w:lineRule="auto"/>
      </w:pPr>
      <w:r>
        <w:rPr>
          <w:rFonts w:hint="eastAsia"/>
        </w:rPr>
        <w:t>应建立</w:t>
      </w:r>
      <w:r>
        <w:rPr>
          <w:rFonts w:hint="eastAsia"/>
        </w:rPr>
        <w:t xml:space="preserve"> 24 h </w:t>
      </w:r>
      <w:r>
        <w:rPr>
          <w:rFonts w:hint="eastAsia"/>
        </w:rPr>
        <w:t>客服机制，故障发生后应在</w:t>
      </w:r>
      <w:r>
        <w:rPr>
          <w:rFonts w:hint="eastAsia"/>
        </w:rPr>
        <w:t xml:space="preserve"> 2 h </w:t>
      </w:r>
      <w:r>
        <w:rPr>
          <w:rFonts w:hint="eastAsia"/>
        </w:rPr>
        <w:t>内到达现场处置，</w:t>
      </w:r>
      <w:r>
        <w:rPr>
          <w:rFonts w:hint="eastAsia"/>
        </w:rPr>
        <w:t xml:space="preserve">4 h </w:t>
      </w:r>
      <w:r>
        <w:rPr>
          <w:rFonts w:hint="eastAsia"/>
        </w:rPr>
        <w:t>内应完成故障修复。</w:t>
      </w:r>
    </w:p>
    <w:p w:rsidR="008E2030" w:rsidRDefault="00722927">
      <w:pPr>
        <w:pStyle w:val="affffffffa"/>
        <w:spacing w:line="288" w:lineRule="auto"/>
      </w:pPr>
      <w:r>
        <w:rPr>
          <w:rFonts w:hint="eastAsia"/>
        </w:rPr>
        <w:t>宜配备</w:t>
      </w:r>
      <w:r>
        <w:rPr>
          <w:rFonts w:hint="eastAsia"/>
        </w:rPr>
        <w:t xml:space="preserve"> AI </w:t>
      </w:r>
      <w:r>
        <w:rPr>
          <w:rFonts w:hint="eastAsia"/>
        </w:rPr>
        <w:t>诊断系统，实现故障预测，准确率应不低于</w:t>
      </w:r>
      <w:r>
        <w:rPr>
          <w:rFonts w:hint="eastAsia"/>
        </w:rPr>
        <w:t xml:space="preserve"> 95</w:t>
      </w:r>
      <w:r>
        <w:rPr>
          <w:rFonts w:hAnsi="宋体" w:hint="eastAsia"/>
        </w:rPr>
        <w:t>％</w:t>
      </w:r>
      <w:r>
        <w:rPr>
          <w:rFonts w:hint="eastAsia"/>
        </w:rPr>
        <w:t>。</w:t>
      </w:r>
    </w:p>
    <w:p w:rsidR="008E2030" w:rsidRDefault="00722927">
      <w:pPr>
        <w:pStyle w:val="affd"/>
        <w:spacing w:before="120" w:after="120"/>
      </w:pPr>
      <w:r>
        <w:t>数据管理</w:t>
      </w:r>
    </w:p>
    <w:p w:rsidR="008E2030" w:rsidRDefault="00722927">
      <w:pPr>
        <w:pStyle w:val="affffffffa"/>
        <w:spacing w:line="288" w:lineRule="auto"/>
      </w:pPr>
      <w:r>
        <w:rPr>
          <w:rFonts w:hint="eastAsia"/>
        </w:rPr>
        <w:t>充电量、故障率、利用率等数据应实时上传至政府监管平台及远程监控平台。</w:t>
      </w:r>
    </w:p>
    <w:p w:rsidR="008E2030" w:rsidRDefault="00722927">
      <w:pPr>
        <w:pStyle w:val="affffffffa"/>
        <w:spacing w:line="288" w:lineRule="auto"/>
      </w:pPr>
      <w:r>
        <w:rPr>
          <w:rFonts w:hint="eastAsia"/>
        </w:rPr>
        <w:t>应实时监测电压、电流、温度等设备运行数据，异常时及时推送警报。</w:t>
      </w:r>
    </w:p>
    <w:p w:rsidR="008E2030" w:rsidRDefault="00722927">
      <w:pPr>
        <w:pStyle w:val="affffffffa"/>
        <w:spacing w:line="288" w:lineRule="auto"/>
      </w:pPr>
      <w:r>
        <w:rPr>
          <w:rFonts w:hint="eastAsia"/>
        </w:rPr>
        <w:t>应加强用户隐私保护，用户数据加密存储。</w:t>
      </w:r>
    </w:p>
    <w:p w:rsidR="008E2030" w:rsidRDefault="00722927">
      <w:pPr>
        <w:pStyle w:val="affffffffa"/>
        <w:spacing w:line="288" w:lineRule="auto"/>
      </w:pPr>
      <w:r>
        <w:rPr>
          <w:rFonts w:hint="eastAsia"/>
        </w:rPr>
        <w:t>应开展能效分析，统计单桩利用率、能耗数据，优化运营策略。</w:t>
      </w:r>
    </w:p>
    <w:p w:rsidR="008E2030" w:rsidRDefault="00722927">
      <w:pPr>
        <w:pStyle w:val="affc"/>
        <w:spacing w:before="240" w:after="240"/>
      </w:pPr>
      <w:bookmarkStart w:id="56" w:name="_Toc209019635"/>
      <w:r>
        <w:t>安全管理</w:t>
      </w:r>
      <w:bookmarkEnd w:id="56"/>
    </w:p>
    <w:p w:rsidR="008E2030" w:rsidRDefault="00722927">
      <w:pPr>
        <w:pStyle w:val="affd"/>
        <w:spacing w:before="120" w:after="120"/>
      </w:pPr>
      <w:r>
        <w:rPr>
          <w:rFonts w:hint="eastAsia"/>
        </w:rPr>
        <w:t>消防安全</w:t>
      </w:r>
    </w:p>
    <w:p w:rsidR="008E2030" w:rsidRDefault="00722927">
      <w:pPr>
        <w:pStyle w:val="affffffffa"/>
        <w:spacing w:line="288" w:lineRule="auto"/>
      </w:pPr>
      <w:r>
        <w:rPr>
          <w:rFonts w:hint="eastAsia"/>
        </w:rPr>
        <w:t>充电站消防要求应符合</w:t>
      </w:r>
      <w:r>
        <w:rPr>
          <w:rFonts w:hint="eastAsia"/>
        </w:rPr>
        <w:t xml:space="preserve"> GB/T 50966 </w:t>
      </w:r>
      <w:r>
        <w:rPr>
          <w:rFonts w:hint="eastAsia"/>
        </w:rPr>
        <w:t>和</w:t>
      </w:r>
      <w:r>
        <w:rPr>
          <w:rFonts w:hint="eastAsia"/>
        </w:rPr>
        <w:t xml:space="preserve"> GB/T 51313 </w:t>
      </w:r>
      <w:r>
        <w:rPr>
          <w:rFonts w:hint="eastAsia"/>
        </w:rPr>
        <w:t>的相关规定。</w:t>
      </w:r>
    </w:p>
    <w:p w:rsidR="008E2030" w:rsidRDefault="00722927">
      <w:pPr>
        <w:pStyle w:val="affffffffa"/>
        <w:spacing w:line="288" w:lineRule="auto"/>
      </w:pPr>
      <w:r>
        <w:rPr>
          <w:rFonts w:hint="eastAsia"/>
        </w:rPr>
        <w:t>应建立符合相关要求的消防安全管理制度及应急处置制度。</w:t>
      </w:r>
    </w:p>
    <w:p w:rsidR="008E2030" w:rsidRDefault="00722927">
      <w:pPr>
        <w:pStyle w:val="affffffffa"/>
        <w:spacing w:line="288" w:lineRule="auto"/>
      </w:pPr>
      <w:r>
        <w:rPr>
          <w:rFonts w:hint="eastAsia"/>
        </w:rPr>
        <w:t>应配备完善的消防设施，制定消防安全操作规程。不应挪用、埋压和圈占消防设施。</w:t>
      </w:r>
    </w:p>
    <w:p w:rsidR="008E2030" w:rsidRDefault="00722927">
      <w:pPr>
        <w:pStyle w:val="affffffffa"/>
        <w:spacing w:line="288" w:lineRule="auto"/>
      </w:pPr>
      <w:r>
        <w:rPr>
          <w:rFonts w:hint="eastAsia"/>
        </w:rPr>
        <w:t>应定期对消防设施、器材进行检查、维护与保养，填写相关记录。发现消防设施问题，应及时维修并上报。</w:t>
      </w:r>
    </w:p>
    <w:p w:rsidR="008E2030" w:rsidRDefault="00722927">
      <w:pPr>
        <w:pStyle w:val="affffffffa"/>
        <w:spacing w:line="288" w:lineRule="auto"/>
      </w:pPr>
      <w:r>
        <w:rPr>
          <w:rFonts w:hint="eastAsia"/>
        </w:rPr>
        <w:t>作业人员应掌握消防知识，并经消防培训考核合格，熟知消防器材的位置、性能和使用方法。</w:t>
      </w:r>
    </w:p>
    <w:p w:rsidR="008E2030" w:rsidRDefault="00722927">
      <w:pPr>
        <w:pStyle w:val="affffffffa"/>
        <w:spacing w:line="288" w:lineRule="auto"/>
      </w:pPr>
      <w:r>
        <w:rPr>
          <w:rFonts w:hint="eastAsia"/>
        </w:rPr>
        <w:t>充电站运营单位应定期进行消防演练。</w:t>
      </w:r>
    </w:p>
    <w:p w:rsidR="008E2030" w:rsidRDefault="00722927">
      <w:pPr>
        <w:pStyle w:val="affd"/>
        <w:spacing w:before="120" w:after="120"/>
      </w:pPr>
      <w:r>
        <w:t>防火</w:t>
      </w:r>
    </w:p>
    <w:p w:rsidR="008E2030" w:rsidRDefault="00722927">
      <w:pPr>
        <w:pStyle w:val="affffffffa"/>
        <w:numPr>
          <w:ilvl w:val="0"/>
          <w:numId w:val="0"/>
        </w:numPr>
        <w:spacing w:line="288" w:lineRule="auto"/>
        <w:ind w:firstLineChars="200" w:firstLine="420"/>
      </w:pPr>
      <w:r>
        <w:rPr>
          <w:rFonts w:hint="eastAsia"/>
        </w:rPr>
        <w:t>应符合</w:t>
      </w:r>
      <w:r>
        <w:rPr>
          <w:rFonts w:hint="eastAsia"/>
        </w:rPr>
        <w:t xml:space="preserve"> GB/T 29781 </w:t>
      </w:r>
      <w:r>
        <w:rPr>
          <w:rFonts w:hint="eastAsia"/>
        </w:rPr>
        <w:t>的规定。</w:t>
      </w:r>
    </w:p>
    <w:p w:rsidR="008E2030" w:rsidRDefault="00722927">
      <w:pPr>
        <w:pStyle w:val="affd"/>
        <w:spacing w:before="120" w:after="120"/>
      </w:pPr>
      <w:r>
        <w:rPr>
          <w:rFonts w:hint="eastAsia"/>
        </w:rPr>
        <w:t>防雷</w:t>
      </w:r>
    </w:p>
    <w:p w:rsidR="008E2030" w:rsidRDefault="00722927">
      <w:pPr>
        <w:pStyle w:val="affffffffa"/>
        <w:spacing w:line="288" w:lineRule="auto"/>
      </w:pPr>
      <w:r>
        <w:rPr>
          <w:rFonts w:hint="eastAsia"/>
        </w:rPr>
        <w:t>充电站的防雷要求应符合</w:t>
      </w:r>
      <w:r>
        <w:rPr>
          <w:rFonts w:hint="eastAsia"/>
        </w:rPr>
        <w:t xml:space="preserve"> GB 50057</w:t>
      </w:r>
      <w:r>
        <w:rPr>
          <w:rFonts w:hint="eastAsia"/>
        </w:rPr>
        <w:t>、</w:t>
      </w:r>
      <w:r>
        <w:rPr>
          <w:rFonts w:hint="eastAsia"/>
        </w:rPr>
        <w:t xml:space="preserve">DL/T 620 </w:t>
      </w:r>
      <w:r>
        <w:rPr>
          <w:rFonts w:hint="eastAsia"/>
        </w:rPr>
        <w:t>的有关规定。</w:t>
      </w:r>
    </w:p>
    <w:p w:rsidR="008E2030" w:rsidRDefault="00722927">
      <w:pPr>
        <w:pStyle w:val="affffffffa"/>
        <w:spacing w:line="288" w:lineRule="auto"/>
      </w:pPr>
      <w:r>
        <w:rPr>
          <w:rFonts w:hint="eastAsia"/>
        </w:rPr>
        <w:t>充电站配置专用电力变压器时，电力线宜采用具有金属护套或绝缘护套电缆穿钢管</w:t>
      </w:r>
      <w:r>
        <w:rPr>
          <w:rFonts w:hint="eastAsia"/>
        </w:rPr>
        <w:t>埋地</w:t>
      </w:r>
      <w:r>
        <w:rPr>
          <w:rFonts w:hint="eastAsia"/>
        </w:rPr>
        <w:t>引入充电站，电力电缆金属护套或钢管两端应就近可靠接地。</w:t>
      </w:r>
    </w:p>
    <w:p w:rsidR="008E2030" w:rsidRDefault="00722927">
      <w:pPr>
        <w:pStyle w:val="affffffffa"/>
        <w:spacing w:line="288" w:lineRule="auto"/>
      </w:pPr>
      <w:r>
        <w:rPr>
          <w:rFonts w:hint="eastAsia"/>
        </w:rPr>
        <w:t>信号电缆应由地下进出充电站，电缆内芯线</w:t>
      </w:r>
      <w:r>
        <w:rPr>
          <w:rFonts w:hint="eastAsia"/>
        </w:rPr>
        <w:t>在进站处应加装相应的信号避雷器，避雷器和电缆内的空线对均应作保护接地，站区内不应布放架空缆线。</w:t>
      </w:r>
    </w:p>
    <w:p w:rsidR="008E2030" w:rsidRDefault="00722927">
      <w:pPr>
        <w:pStyle w:val="affffffffa"/>
        <w:spacing w:line="288" w:lineRule="auto"/>
      </w:pPr>
      <w:r>
        <w:rPr>
          <w:rFonts w:hint="eastAsia"/>
        </w:rPr>
        <w:t>充电站供电设备的正常不带电的金属部分、避雷器的接地端均应</w:t>
      </w:r>
      <w:proofErr w:type="gramStart"/>
      <w:r>
        <w:rPr>
          <w:rFonts w:hint="eastAsia"/>
        </w:rPr>
        <w:t>做保</w:t>
      </w:r>
      <w:proofErr w:type="gramEnd"/>
      <w:r>
        <w:rPr>
          <w:rFonts w:hint="eastAsia"/>
        </w:rPr>
        <w:t>护接地，不应做接零保护。</w:t>
      </w:r>
    </w:p>
    <w:p w:rsidR="008E2030" w:rsidRDefault="00722927">
      <w:pPr>
        <w:pStyle w:val="affffffffa"/>
        <w:spacing w:line="288" w:lineRule="auto"/>
      </w:pPr>
      <w:r>
        <w:rPr>
          <w:rFonts w:hint="eastAsia"/>
        </w:rPr>
        <w:t>电气设备内部防雷地线应和机壳就近连接。</w:t>
      </w:r>
    </w:p>
    <w:p w:rsidR="008E2030" w:rsidRDefault="00722927">
      <w:pPr>
        <w:pStyle w:val="affffffffa"/>
        <w:spacing w:line="288" w:lineRule="auto"/>
      </w:pPr>
      <w:r>
        <w:rPr>
          <w:rFonts w:hint="eastAsia"/>
        </w:rPr>
        <w:lastRenderedPageBreak/>
        <w:t>充电设备金属外壳应采用双接地，接地电阻应不大于</w:t>
      </w:r>
      <w:r>
        <w:rPr>
          <w:rFonts w:hint="eastAsia"/>
        </w:rPr>
        <w:t xml:space="preserve"> 4 </w:t>
      </w:r>
      <w:r>
        <w:rPr>
          <w:rFonts w:hint="eastAsia"/>
        </w:rPr>
        <w:t>Ω，浪涌保护器响应时间应不大于</w:t>
      </w:r>
      <w:r>
        <w:rPr>
          <w:rFonts w:hint="eastAsia"/>
        </w:rPr>
        <w:t xml:space="preserve"> 25 ns</w:t>
      </w:r>
      <w:r>
        <w:rPr>
          <w:rFonts w:hint="eastAsia"/>
        </w:rPr>
        <w:t>，并设置防雷保护装置。</w:t>
      </w:r>
    </w:p>
    <w:p w:rsidR="008E2030" w:rsidRDefault="00722927">
      <w:pPr>
        <w:pStyle w:val="affc"/>
        <w:spacing w:before="240" w:after="240"/>
      </w:pPr>
      <w:bookmarkStart w:id="57" w:name="_Toc209019636"/>
      <w:r>
        <w:t>评价与改进</w:t>
      </w:r>
      <w:bookmarkEnd w:id="57"/>
    </w:p>
    <w:p w:rsidR="008E2030" w:rsidRDefault="00722927">
      <w:pPr>
        <w:pStyle w:val="affffffffa"/>
        <w:spacing w:line="288" w:lineRule="auto"/>
      </w:pPr>
      <w:r>
        <w:rPr>
          <w:rFonts w:hint="eastAsia"/>
        </w:rPr>
        <w:t>充电站运营单位应公示投诉渠道，及时响应处理。</w:t>
      </w:r>
    </w:p>
    <w:p w:rsidR="008E2030" w:rsidRDefault="00722927">
      <w:pPr>
        <w:pStyle w:val="affffffffa"/>
        <w:spacing w:line="288" w:lineRule="auto"/>
      </w:pPr>
      <w:r>
        <w:rPr>
          <w:rFonts w:hint="eastAsia"/>
        </w:rPr>
        <w:t>应实行限时处理投诉。做到对能够当场解决的问题，应立即解决；对在规定时间内能够解决的问题，应尽早解决；对在规定时间内</w:t>
      </w:r>
      <w:r>
        <w:rPr>
          <w:rFonts w:hint="eastAsia"/>
        </w:rPr>
        <w:t>难以解决的问题，应向投诉者说明原因，并确定解决的时间。</w:t>
      </w:r>
    </w:p>
    <w:p w:rsidR="008E2030" w:rsidRDefault="00722927">
      <w:pPr>
        <w:pStyle w:val="affffffffa"/>
        <w:spacing w:line="288" w:lineRule="auto"/>
      </w:pPr>
      <w:r>
        <w:rPr>
          <w:rFonts w:hint="eastAsia"/>
        </w:rPr>
        <w:t>投诉处理完毕应收</w:t>
      </w:r>
      <w:proofErr w:type="gramStart"/>
      <w:r>
        <w:rPr>
          <w:rFonts w:hint="eastAsia"/>
        </w:rPr>
        <w:t>集投诉</w:t>
      </w:r>
      <w:proofErr w:type="gramEnd"/>
      <w:r>
        <w:rPr>
          <w:rFonts w:hint="eastAsia"/>
        </w:rPr>
        <w:t>处理通知单，并进行存档处理，宜回访客户满意度。</w:t>
      </w:r>
    </w:p>
    <w:p w:rsidR="008E2030" w:rsidRDefault="00722927">
      <w:pPr>
        <w:pStyle w:val="affffffffa"/>
        <w:spacing w:line="288" w:lineRule="auto"/>
      </w:pPr>
      <w:r>
        <w:rPr>
          <w:rFonts w:hint="eastAsia"/>
        </w:rPr>
        <w:t>运营单位应采用自我评价、客户评价或第三方评价的方式，每年度对充电站进行评价，评价内容包括但不限于环境要求、充电服务、服务满意度等。</w:t>
      </w:r>
    </w:p>
    <w:p w:rsidR="008E2030" w:rsidRDefault="00722927">
      <w:pPr>
        <w:pStyle w:val="affffffffa"/>
        <w:spacing w:line="288" w:lineRule="auto"/>
      </w:pPr>
      <w:r>
        <w:rPr>
          <w:rFonts w:hint="eastAsia"/>
        </w:rPr>
        <w:t>运营单位应根据评价过程中发现的问题及时采取整改措施，不断提高服务，并对工作改进情况进行跟踪、复查和验证。</w:t>
      </w:r>
    </w:p>
    <w:p w:rsidR="008E2030" w:rsidRDefault="00722927">
      <w:pPr>
        <w:pStyle w:val="affffe"/>
        <w:ind w:firstLineChars="0" w:firstLine="0"/>
        <w:jc w:val="center"/>
      </w:pPr>
      <w:bookmarkStart w:id="58" w:name="BookMark8"/>
      <w:bookmarkEnd w:id="24"/>
      <w:r>
        <w:rPr>
          <w:noProof/>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1"/>
                    <a:stretch>
                      <a:fillRect/>
                    </a:stretch>
                  </pic:blipFill>
                  <pic:spPr>
                    <a:xfrm>
                      <a:off x="0" y="0"/>
                      <a:ext cx="1485900" cy="317500"/>
                    </a:xfrm>
                    <a:prstGeom prst="rect">
                      <a:avLst/>
                    </a:prstGeom>
                  </pic:spPr>
                </pic:pic>
              </a:graphicData>
            </a:graphic>
          </wp:inline>
        </w:drawing>
      </w:r>
      <w:bookmarkEnd w:id="58"/>
    </w:p>
    <w:sectPr w:rsidR="008E203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927" w:rsidRDefault="00722927">
      <w:pPr>
        <w:spacing w:line="240" w:lineRule="auto"/>
      </w:pPr>
      <w:r>
        <w:separator/>
      </w:r>
    </w:p>
  </w:endnote>
  <w:endnote w:type="continuationSeparator" w:id="0">
    <w:p w:rsidR="00722927" w:rsidRDefault="00722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30" w:rsidRDefault="00722927">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30" w:rsidRDefault="008E2030">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30" w:rsidRDefault="008E2030">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30" w:rsidRDefault="00722927">
    <w:pPr>
      <w:pStyle w:val="affffb"/>
    </w:pPr>
    <w:r>
      <w:fldChar w:fldCharType="begin"/>
    </w:r>
    <w:r>
      <w:instrText>PAGE   \* MERGEFORMAT</w:instrText>
    </w:r>
    <w:r>
      <w:fldChar w:fldCharType="separate"/>
    </w:r>
    <w:r w:rsidR="009E0C12" w:rsidRPr="009E0C12">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927" w:rsidRDefault="00722927">
      <w:pPr>
        <w:spacing w:line="240" w:lineRule="auto"/>
      </w:pPr>
      <w:r>
        <w:separator/>
      </w:r>
    </w:p>
  </w:footnote>
  <w:footnote w:type="continuationSeparator" w:id="0">
    <w:p w:rsidR="00722927" w:rsidRDefault="007229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30" w:rsidRDefault="008E2030">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30" w:rsidRDefault="00722927">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30" w:rsidRDefault="008E2030">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30" w:rsidRDefault="00722927">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6052F">
      <w:rPr>
        <w:noProof/>
      </w:rPr>
      <w:t>T/CS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30" w:rsidRDefault="00722927">
    <w:pPr>
      <w:pStyle w:val="afffff3"/>
    </w:pPr>
    <w:r>
      <w:fldChar w:fldCharType="begin"/>
    </w:r>
    <w:r>
      <w:instrText xml:space="preserve"> STYLEREF  </w:instrText>
    </w:r>
    <w:r>
      <w:instrText>标准文件</w:instrText>
    </w:r>
    <w:r>
      <w:instrText>_</w:instrText>
    </w:r>
    <w:r>
      <w:instrText>文件编号</w:instrText>
    </w:r>
    <w:r>
      <w:instrText xml:space="preserve">  \* MERGEFORM</w:instrText>
    </w:r>
    <w:r>
      <w:instrText xml:space="preserve">AT </w:instrText>
    </w:r>
    <w:r>
      <w:fldChar w:fldCharType="separate"/>
    </w:r>
    <w:r w:rsidR="009E0C12">
      <w:rPr>
        <w:noProof/>
      </w:rPr>
      <w:t>T/CS XXXX</w:t>
    </w:r>
    <w:r w:rsidR="009E0C12">
      <w:rPr>
        <w:noProof/>
      </w:rPr>
      <w:t>—</w:t>
    </w:r>
    <w:r w:rsidR="009E0C12">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AF"/>
    <w:rsid w:val="0000040A"/>
    <w:rsid w:val="00000A94"/>
    <w:rsid w:val="00001972"/>
    <w:rsid w:val="00001D9A"/>
    <w:rsid w:val="00007B3A"/>
    <w:rsid w:val="000107E0"/>
    <w:rsid w:val="00011299"/>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F61"/>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1D64"/>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8A6"/>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37E6"/>
    <w:rsid w:val="002D42B5"/>
    <w:rsid w:val="002D4F1A"/>
    <w:rsid w:val="002D6EC6"/>
    <w:rsid w:val="002D79AC"/>
    <w:rsid w:val="002E039D"/>
    <w:rsid w:val="002E4D5A"/>
    <w:rsid w:val="002E6326"/>
    <w:rsid w:val="002F30E0"/>
    <w:rsid w:val="002F35E4"/>
    <w:rsid w:val="002F3730"/>
    <w:rsid w:val="002F38E1"/>
    <w:rsid w:val="002F7AF6"/>
    <w:rsid w:val="003008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67CA7"/>
    <w:rsid w:val="00470775"/>
    <w:rsid w:val="004746B1"/>
    <w:rsid w:val="0047583F"/>
    <w:rsid w:val="00475DE8"/>
    <w:rsid w:val="00475E4F"/>
    <w:rsid w:val="00481C44"/>
    <w:rsid w:val="00484936"/>
    <w:rsid w:val="00485C89"/>
    <w:rsid w:val="00486BE3"/>
    <w:rsid w:val="00487BF2"/>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9EC"/>
    <w:rsid w:val="00525B16"/>
    <w:rsid w:val="00533D04"/>
    <w:rsid w:val="00534804"/>
    <w:rsid w:val="00534BDF"/>
    <w:rsid w:val="005354EA"/>
    <w:rsid w:val="0053585F"/>
    <w:rsid w:val="00535EC4"/>
    <w:rsid w:val="00535ED9"/>
    <w:rsid w:val="00535F57"/>
    <w:rsid w:val="0053692B"/>
    <w:rsid w:val="00541853"/>
    <w:rsid w:val="0054338E"/>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927"/>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6D42"/>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289"/>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030"/>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2CA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3D62"/>
    <w:rsid w:val="009D47FA"/>
    <w:rsid w:val="009D4C5B"/>
    <w:rsid w:val="009D50D2"/>
    <w:rsid w:val="009D6BCA"/>
    <w:rsid w:val="009E0C12"/>
    <w:rsid w:val="009E0F62"/>
    <w:rsid w:val="009E4A58"/>
    <w:rsid w:val="009E5A2D"/>
    <w:rsid w:val="009E5AB2"/>
    <w:rsid w:val="009E6219"/>
    <w:rsid w:val="009F03B3"/>
    <w:rsid w:val="00A0096C"/>
    <w:rsid w:val="00A01757"/>
    <w:rsid w:val="00A028C0"/>
    <w:rsid w:val="00A02BAE"/>
    <w:rsid w:val="00A056CA"/>
    <w:rsid w:val="00A06A6B"/>
    <w:rsid w:val="00A07E47"/>
    <w:rsid w:val="00A129D0"/>
    <w:rsid w:val="00A12C33"/>
    <w:rsid w:val="00A138BA"/>
    <w:rsid w:val="00A14C8E"/>
    <w:rsid w:val="00A153D9"/>
    <w:rsid w:val="00A15F09"/>
    <w:rsid w:val="00A169B6"/>
    <w:rsid w:val="00A2271D"/>
    <w:rsid w:val="00A237D5"/>
    <w:rsid w:val="00A30EFC"/>
    <w:rsid w:val="00A3182A"/>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4AF"/>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6BA2"/>
    <w:rsid w:val="00B87131"/>
    <w:rsid w:val="00B939B1"/>
    <w:rsid w:val="00B96D40"/>
    <w:rsid w:val="00B97386"/>
    <w:rsid w:val="00BA263B"/>
    <w:rsid w:val="00BA42B2"/>
    <w:rsid w:val="00BA58D4"/>
    <w:rsid w:val="00BA5B9E"/>
    <w:rsid w:val="00BA7C9A"/>
    <w:rsid w:val="00BB5F8F"/>
    <w:rsid w:val="00BB657A"/>
    <w:rsid w:val="00BC1A4E"/>
    <w:rsid w:val="00BC3358"/>
    <w:rsid w:val="00BC5DC7"/>
    <w:rsid w:val="00BC6B8B"/>
    <w:rsid w:val="00BC73D8"/>
    <w:rsid w:val="00BD52D7"/>
    <w:rsid w:val="00BD5AD2"/>
    <w:rsid w:val="00BE22F3"/>
    <w:rsid w:val="00BE5B52"/>
    <w:rsid w:val="00BE7B8D"/>
    <w:rsid w:val="00BF0993"/>
    <w:rsid w:val="00BF10A9"/>
    <w:rsid w:val="00BF1703"/>
    <w:rsid w:val="00BF21F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5D6"/>
    <w:rsid w:val="00D27EC4"/>
    <w:rsid w:val="00D32719"/>
    <w:rsid w:val="00D33333"/>
    <w:rsid w:val="00D352A2"/>
    <w:rsid w:val="00D4162B"/>
    <w:rsid w:val="00D4514F"/>
    <w:rsid w:val="00D451E2"/>
    <w:rsid w:val="00D45E89"/>
    <w:rsid w:val="00D45E8D"/>
    <w:rsid w:val="00D466AE"/>
    <w:rsid w:val="00D4734F"/>
    <w:rsid w:val="00D51BF3"/>
    <w:rsid w:val="00D6052F"/>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213"/>
    <w:rsid w:val="00DB66CA"/>
    <w:rsid w:val="00DB6BCA"/>
    <w:rsid w:val="00DB6F54"/>
    <w:rsid w:val="00DB73F7"/>
    <w:rsid w:val="00DC0321"/>
    <w:rsid w:val="00DC3067"/>
    <w:rsid w:val="00DC370B"/>
    <w:rsid w:val="00DC4642"/>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27D"/>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637"/>
    <w:rsid w:val="00FE1FBE"/>
    <w:rsid w:val="00FE3901"/>
    <w:rsid w:val="00FE39D3"/>
    <w:rsid w:val="00FE4BCE"/>
    <w:rsid w:val="00FE54AE"/>
    <w:rsid w:val="00FE576A"/>
    <w:rsid w:val="00FE7E79"/>
    <w:rsid w:val="00FF3E7D"/>
    <w:rsid w:val="00FF5B99"/>
    <w:rsid w:val="00FF730C"/>
    <w:rsid w:val="00FF73F4"/>
    <w:rsid w:val="00FF7CE4"/>
    <w:rsid w:val="00FF7E39"/>
    <w:rsid w:val="1B62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lsdException w:name="footnote text" w:uiPriority="0" w:unhideWhenUsed="0"/>
    <w:lsdException w:name="header" w:semiHidden="0" w:unhideWhenUsed="0"/>
    <w:lsdException w:name="footer" w:semiHidden="0" w:unhideWhenUsed="0"/>
    <w:lsdException w:name="caption" w:uiPriority="35" w:qFormat="1"/>
    <w:lsdException w:name="table of figures" w:uiPriority="0" w:unhideWhenUsed="0"/>
    <w:lsdException w:name="footnote reference" w:uiPriority="0" w:unhideWhenUsed="0"/>
    <w:lsdException w:name="page number" w:semiHidden="0" w:uiPriority="0" w:unhideWhenUsed="0"/>
    <w:lsdException w:name="Title" w:semiHidden="0" w:uiPriority="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198"/>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e"/>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kern w:val="2"/>
      <w:sz w:val="21"/>
      <w:szCs w:val="21"/>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kern w:val="2"/>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lsdException w:name="footnote text" w:uiPriority="0" w:unhideWhenUsed="0"/>
    <w:lsdException w:name="header" w:semiHidden="0" w:unhideWhenUsed="0"/>
    <w:lsdException w:name="footer" w:semiHidden="0" w:unhideWhenUsed="0"/>
    <w:lsdException w:name="caption" w:uiPriority="35" w:qFormat="1"/>
    <w:lsdException w:name="table of figures" w:uiPriority="0" w:unhideWhenUsed="0"/>
    <w:lsdException w:name="footnote reference" w:uiPriority="0" w:unhideWhenUsed="0"/>
    <w:lsdException w:name="page number" w:semiHidden="0" w:uiPriority="0" w:unhideWhenUsed="0"/>
    <w:lsdException w:name="Title" w:semiHidden="0" w:uiPriority="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198"/>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e"/>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kern w:val="2"/>
      <w:sz w:val="21"/>
      <w:szCs w:val="21"/>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kern w:val="2"/>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7672F4FD5C420B878BA9111AC6A963"/>
        <w:category>
          <w:name w:val="常规"/>
          <w:gallery w:val="placeholder"/>
        </w:category>
        <w:types>
          <w:type w:val="bbPlcHdr"/>
        </w:types>
        <w:behaviors>
          <w:behavior w:val="content"/>
        </w:behaviors>
        <w:guid w:val="{51BCF2F9-B0C4-4A4D-BDF4-4E943BD6A133}"/>
      </w:docPartPr>
      <w:docPartBody>
        <w:p w:rsidR="006F1241" w:rsidRDefault="00614132">
          <w:pPr>
            <w:pStyle w:val="6A7672F4FD5C420B878BA9111AC6A963"/>
          </w:pPr>
          <w:r>
            <w:rPr>
              <w:rStyle w:val="a3"/>
              <w:rFonts w:hint="eastAsia"/>
            </w:rPr>
            <w:t>单击或点击此处输入文字。</w:t>
          </w:r>
        </w:p>
      </w:docPartBody>
    </w:docPart>
    <w:docPart>
      <w:docPartPr>
        <w:name w:val="06F1C546B2AB429FA66A6ED16353B4E4"/>
        <w:category>
          <w:name w:val="常规"/>
          <w:gallery w:val="placeholder"/>
        </w:category>
        <w:types>
          <w:type w:val="bbPlcHdr"/>
        </w:types>
        <w:behaviors>
          <w:behavior w:val="content"/>
        </w:behaviors>
        <w:guid w:val="{BED8E791-6FEE-4322-B2D6-6B74C030D09E}"/>
      </w:docPartPr>
      <w:docPartBody>
        <w:p w:rsidR="006F1241" w:rsidRDefault="00614132">
          <w:pPr>
            <w:pStyle w:val="06F1C546B2AB429FA66A6ED16353B4E4"/>
          </w:pPr>
          <w:r>
            <w:rPr>
              <w:rStyle w:val="a3"/>
              <w:rFonts w:hint="eastAsia"/>
            </w:rPr>
            <w:t>选择一项。</w:t>
          </w:r>
        </w:p>
      </w:docPartBody>
    </w:docPart>
    <w:docPart>
      <w:docPartPr>
        <w:name w:val="939ED64C5B2B42EB87B0F5CA64FCE993"/>
        <w:category>
          <w:name w:val="常规"/>
          <w:gallery w:val="placeholder"/>
        </w:category>
        <w:types>
          <w:type w:val="bbPlcHdr"/>
        </w:types>
        <w:behaviors>
          <w:behavior w:val="content"/>
        </w:behaviors>
        <w:guid w:val="{E0D37676-2631-4EA3-A5C8-1CF2CF2B28E3}"/>
      </w:docPartPr>
      <w:docPartBody>
        <w:p w:rsidR="006F1241" w:rsidRDefault="00614132">
          <w:pPr>
            <w:pStyle w:val="939ED64C5B2B42EB87B0F5CA64FCE99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C2F"/>
    <w:rsid w:val="00275410"/>
    <w:rsid w:val="002B1B9F"/>
    <w:rsid w:val="00614132"/>
    <w:rsid w:val="006F1241"/>
    <w:rsid w:val="0072682B"/>
    <w:rsid w:val="0083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A7672F4FD5C420B878BA9111AC6A963">
    <w:name w:val="6A7672F4FD5C420B878BA9111AC6A963"/>
    <w:pPr>
      <w:widowControl w:val="0"/>
      <w:jc w:val="both"/>
    </w:pPr>
    <w:rPr>
      <w:kern w:val="2"/>
      <w:sz w:val="21"/>
      <w:szCs w:val="22"/>
    </w:rPr>
  </w:style>
  <w:style w:type="paragraph" w:customStyle="1" w:styleId="06F1C546B2AB429FA66A6ED16353B4E4">
    <w:name w:val="06F1C546B2AB429FA66A6ED16353B4E4"/>
    <w:pPr>
      <w:widowControl w:val="0"/>
      <w:jc w:val="both"/>
    </w:pPr>
    <w:rPr>
      <w:kern w:val="2"/>
      <w:sz w:val="21"/>
      <w:szCs w:val="22"/>
    </w:rPr>
  </w:style>
  <w:style w:type="paragraph" w:customStyle="1" w:styleId="939ED64C5B2B42EB87B0F5CA64FCE993">
    <w:name w:val="939ED64C5B2B42EB87B0F5CA64FCE993"/>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A7672F4FD5C420B878BA9111AC6A963">
    <w:name w:val="6A7672F4FD5C420B878BA9111AC6A963"/>
    <w:pPr>
      <w:widowControl w:val="0"/>
      <w:jc w:val="both"/>
    </w:pPr>
    <w:rPr>
      <w:kern w:val="2"/>
      <w:sz w:val="21"/>
      <w:szCs w:val="22"/>
    </w:rPr>
  </w:style>
  <w:style w:type="paragraph" w:customStyle="1" w:styleId="06F1C546B2AB429FA66A6ED16353B4E4">
    <w:name w:val="06F1C546B2AB429FA66A6ED16353B4E4"/>
    <w:pPr>
      <w:widowControl w:val="0"/>
      <w:jc w:val="both"/>
    </w:pPr>
    <w:rPr>
      <w:kern w:val="2"/>
      <w:sz w:val="21"/>
      <w:szCs w:val="22"/>
    </w:rPr>
  </w:style>
  <w:style w:type="paragraph" w:customStyle="1" w:styleId="939ED64C5B2B42EB87B0F5CA64FCE993">
    <w:name w:val="939ED64C5B2B42EB87B0F5CA64FCE99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E11C4C-713F-4635-8357-AE757FC1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238</TotalTime>
  <Pages>8</Pages>
  <Words>784</Words>
  <Characters>4471</Characters>
  <Application>Microsoft Office Word</Application>
  <DocSecurity>0</DocSecurity>
  <Lines>37</Lines>
  <Paragraphs>10</Paragraphs>
  <ScaleCrop>false</ScaleCrop>
  <Company>PCMI</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10</cp:revision>
  <cp:lastPrinted>2025-09-17T08:43:00Z</cp:lastPrinted>
  <dcterms:created xsi:type="dcterms:W3CDTF">2025-01-17T01:45:00Z</dcterms:created>
  <dcterms:modified xsi:type="dcterms:W3CDTF">2025-09-17T08:43:00Z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eyJoZGlkIjoiNjY0YTI4NTUzOGQ3OTcwYjk3NjAwNWUwMDUyZjBiMGIiLCJ1c2VySWQiOiI0NTc4MTAxNTMifQ==</vt:lpwstr>
  </property>
  <property fmtid="{D5CDD505-2E9C-101B-9397-08002B2CF9AE}" pid="15" name="KSOProductBuildVer">
    <vt:lpwstr>2052-12.1.0.22529</vt:lpwstr>
  </property>
  <property fmtid="{D5CDD505-2E9C-101B-9397-08002B2CF9AE}" pid="16" name="ICV">
    <vt:lpwstr>91DC37B08E7D4548BD0B09E455C05EBD_12</vt:lpwstr>
  </property>
</Properties>
</file>