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60961">
        <w:tc>
          <w:tcPr>
            <w:tcW w:w="509" w:type="dxa"/>
          </w:tcPr>
          <w:p w:rsidR="00960961" w:rsidRDefault="00CE677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60961" w:rsidRDefault="00CE677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29.240.99</w:t>
            </w:r>
            <w:r>
              <w:rPr>
                <w:rFonts w:ascii="黑体" w:eastAsia="黑体" w:hAnsi="黑体"/>
                <w:sz w:val="21"/>
                <w:szCs w:val="21"/>
              </w:rPr>
              <w:fldChar w:fldCharType="end"/>
            </w:r>
            <w:bookmarkEnd w:id="0"/>
          </w:p>
        </w:tc>
      </w:tr>
      <w:tr w:rsidR="00960961">
        <w:tc>
          <w:tcPr>
            <w:tcW w:w="509" w:type="dxa"/>
          </w:tcPr>
          <w:p w:rsidR="00960961" w:rsidRDefault="00CE677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60961">
              <w:trPr>
                <w:trHeight w:hRule="exact" w:val="1021"/>
              </w:trPr>
              <w:tc>
                <w:tcPr>
                  <w:tcW w:w="9242" w:type="dxa"/>
                  <w:vAlign w:val="center"/>
                </w:tcPr>
                <w:p w:rsidR="00960961" w:rsidRDefault="00CE6772" w:rsidP="00C13BF4">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rsidR="00960961" w:rsidRDefault="00CE677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47</w:t>
            </w:r>
            <w:r>
              <w:rPr>
                <w:rFonts w:ascii="黑体" w:eastAsia="黑体" w:hAnsi="黑体"/>
                <w:sz w:val="21"/>
                <w:szCs w:val="21"/>
              </w:rPr>
              <w:fldChar w:fldCharType="end"/>
            </w:r>
            <w:bookmarkEnd w:id="2"/>
          </w:p>
        </w:tc>
      </w:tr>
    </w:tbl>
    <w:bookmarkStart w:id="3" w:name="_Hlk26473981"/>
    <w:p w:rsidR="00960961" w:rsidRDefault="00CE6772">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60961" w:rsidRDefault="00CE6772">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2</w:t>
      </w:r>
      <w:r>
        <w:rPr>
          <w:rFonts w:hint="eastAsia"/>
        </w:rPr>
        <w:t>65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rsidR="00960961" w:rsidRDefault="00CE6772">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960961" w:rsidRDefault="00CE677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60961" w:rsidRDefault="00960961">
      <w:pPr>
        <w:pStyle w:val="affff9"/>
        <w:framePr w:w="9639" w:h="6976" w:hRule="exact" w:hSpace="0" w:vSpace="0" w:wrap="around" w:hAnchor="page" w:y="6408"/>
        <w:jc w:val="center"/>
        <w:rPr>
          <w:rFonts w:ascii="黑体" w:eastAsia="黑体" w:hAnsi="黑体"/>
          <w:b w:val="0"/>
          <w:bCs w:val="0"/>
          <w:w w:val="100"/>
        </w:rPr>
      </w:pPr>
    </w:p>
    <w:p w:rsidR="00960961" w:rsidRDefault="00CE6772">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电力铁塔绿色生产技术指南</w:t>
      </w:r>
      <w:r>
        <w:fldChar w:fldCharType="end"/>
      </w:r>
      <w:bookmarkEnd w:id="9"/>
    </w:p>
    <w:p w:rsidR="00960961" w:rsidRDefault="00960961">
      <w:pPr>
        <w:framePr w:w="9639" w:h="6974" w:hRule="exact" w:wrap="around" w:vAnchor="page" w:hAnchor="page" w:x="1419" w:y="6408" w:anchorLock="1"/>
        <w:ind w:left="-1418"/>
      </w:pPr>
    </w:p>
    <w:p w:rsidR="00960961" w:rsidRDefault="00CE6772">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Green </w:t>
      </w:r>
      <w:r>
        <w:rPr>
          <w:rFonts w:eastAsia="黑体" w:hint="eastAsia"/>
          <w:szCs w:val="28"/>
        </w:rPr>
        <w:t>p</w:t>
      </w:r>
      <w:r>
        <w:rPr>
          <w:rFonts w:eastAsia="黑体"/>
          <w:szCs w:val="28"/>
        </w:rPr>
        <w:t xml:space="preserve">roduction </w:t>
      </w:r>
      <w:r>
        <w:rPr>
          <w:rFonts w:eastAsia="黑体" w:hint="eastAsia"/>
          <w:szCs w:val="28"/>
        </w:rPr>
        <w:t>t</w:t>
      </w:r>
      <w:r>
        <w:rPr>
          <w:rFonts w:eastAsia="黑体"/>
          <w:szCs w:val="28"/>
        </w:rPr>
        <w:t xml:space="preserve">echnology </w:t>
      </w:r>
      <w:r>
        <w:rPr>
          <w:rFonts w:eastAsia="黑体" w:hint="eastAsia"/>
          <w:szCs w:val="28"/>
        </w:rPr>
        <w:t>g</w:t>
      </w:r>
      <w:r>
        <w:rPr>
          <w:rFonts w:eastAsia="黑体"/>
          <w:szCs w:val="28"/>
        </w:rPr>
        <w:t xml:space="preserve">uide for </w:t>
      </w:r>
      <w:r>
        <w:rPr>
          <w:rFonts w:eastAsia="黑体" w:hint="eastAsia"/>
          <w:szCs w:val="28"/>
        </w:rPr>
        <w:t>e</w:t>
      </w:r>
      <w:r>
        <w:rPr>
          <w:rFonts w:eastAsia="黑体"/>
          <w:szCs w:val="28"/>
        </w:rPr>
        <w:t xml:space="preserve">lectric </w:t>
      </w:r>
      <w:r>
        <w:rPr>
          <w:rFonts w:eastAsia="黑体" w:hint="eastAsia"/>
          <w:szCs w:val="28"/>
        </w:rPr>
        <w:t>p</w:t>
      </w:r>
      <w:r>
        <w:rPr>
          <w:rFonts w:eastAsia="黑体"/>
          <w:szCs w:val="28"/>
        </w:rPr>
        <w:t xml:space="preserve">ower </w:t>
      </w:r>
      <w:r>
        <w:rPr>
          <w:rFonts w:eastAsia="黑体" w:hint="eastAsia"/>
          <w:szCs w:val="28"/>
        </w:rPr>
        <w:t>t</w:t>
      </w:r>
      <w:r>
        <w:rPr>
          <w:rFonts w:eastAsia="黑体"/>
          <w:szCs w:val="28"/>
        </w:rPr>
        <w:t>owers</w:t>
      </w:r>
      <w:r>
        <w:rPr>
          <w:rFonts w:eastAsia="黑体"/>
          <w:szCs w:val="28"/>
        </w:rPr>
        <w:fldChar w:fldCharType="end"/>
      </w:r>
      <w:bookmarkEnd w:id="10"/>
    </w:p>
    <w:p w:rsidR="00960961" w:rsidRDefault="00960961">
      <w:pPr>
        <w:framePr w:w="9639" w:h="6974" w:hRule="exact" w:wrap="around" w:vAnchor="page" w:hAnchor="page" w:x="1419" w:y="6408" w:anchorLock="1"/>
        <w:spacing w:line="760" w:lineRule="exact"/>
        <w:ind w:left="-1418"/>
      </w:pPr>
    </w:p>
    <w:p w:rsidR="00960961" w:rsidRDefault="00960961">
      <w:pPr>
        <w:pStyle w:val="afffffff1"/>
        <w:framePr w:w="9639" w:h="6974" w:hRule="exact" w:wrap="around" w:vAnchor="page" w:hAnchor="page" w:x="1419" w:y="6408" w:anchorLock="1"/>
        <w:textAlignment w:val="bottom"/>
        <w:rPr>
          <w:rFonts w:eastAsia="黑体"/>
          <w:szCs w:val="28"/>
        </w:rPr>
      </w:pPr>
    </w:p>
    <w:bookmarkStart w:id="11" w:name="_GoBack"/>
    <w:p w:rsidR="00960961" w:rsidRDefault="00CE6772">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C13BF4">
        <w:rPr>
          <w:sz w:val="24"/>
          <w:szCs w:val="28"/>
        </w:rPr>
      </w:r>
      <w:r>
        <w:rPr>
          <w:sz w:val="24"/>
          <w:szCs w:val="28"/>
        </w:rPr>
        <w:fldChar w:fldCharType="end"/>
      </w:r>
      <w:bookmarkEnd w:id="12"/>
      <w:bookmarkEnd w:id="11"/>
    </w:p>
    <w:p w:rsidR="00960961" w:rsidRDefault="00CE6772">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960961" w:rsidRDefault="00CE6772">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end"/>
      </w:r>
      <w:bookmarkEnd w:id="14"/>
    </w:p>
    <w:p w:rsidR="00960961" w:rsidRDefault="00CE6772">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960961" w:rsidRDefault="00CE6772">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960961" w:rsidRDefault="00CE6772">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1"/>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60961" w:rsidRDefault="00CE6772">
      <w:pPr>
        <w:rPr>
          <w:rFonts w:ascii="宋体" w:hAnsi="宋体"/>
          <w:sz w:val="28"/>
          <w:szCs w:val="28"/>
        </w:rPr>
        <w:sectPr w:rsidR="0096096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960961" w:rsidRDefault="00CE6772">
      <w:pPr>
        <w:pStyle w:val="affffff3"/>
        <w:spacing w:after="360"/>
      </w:pPr>
      <w:bookmarkStart w:id="22" w:name="BookMark1"/>
      <w:bookmarkStart w:id="23" w:name="_Toc190359138"/>
      <w:bookmarkStart w:id="24" w:name="_Toc191051699"/>
      <w:bookmarkStart w:id="25" w:name="_Toc185860851"/>
      <w:bookmarkStart w:id="26" w:name="_Toc188533070"/>
      <w:bookmarkStart w:id="27" w:name="_Toc188618513"/>
      <w:bookmarkStart w:id="28" w:name="_Toc194407737"/>
      <w:bookmarkStart w:id="29" w:name="_Toc196215180"/>
      <w:bookmarkStart w:id="30" w:name="_Toc200463743"/>
      <w:bookmarkStart w:id="31" w:name="_Toc194939251"/>
      <w:bookmarkStart w:id="32" w:name="_Toc188533832"/>
      <w:bookmarkStart w:id="33" w:name="_Toc206079766"/>
      <w:bookmarkStart w:id="34" w:name="_Toc206075719"/>
      <w:bookmarkStart w:id="35" w:name="_Toc204852681"/>
      <w:bookmarkStart w:id="36" w:name="_Toc207358120"/>
      <w:bookmarkStart w:id="37" w:name="_Toc207633918"/>
      <w:bookmarkStart w:id="38" w:name="_Toc201743753"/>
      <w:bookmarkStart w:id="39" w:name="_Toc205213783"/>
      <w:r>
        <w:rPr>
          <w:rFonts w:hint="eastAsia"/>
          <w:spacing w:val="320"/>
        </w:rPr>
        <w:lastRenderedPageBreak/>
        <w:t>目</w:t>
      </w:r>
      <w:r>
        <w:rPr>
          <w:rFonts w:hint="eastAsia"/>
        </w:rPr>
        <w:t>次</w:t>
      </w:r>
    </w:p>
    <w:p w:rsidR="00960961" w:rsidRDefault="00CE6772">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7635015" w:history="1">
        <w:r>
          <w:rPr>
            <w:rStyle w:val="affff5"/>
            <w:rFonts w:hint="eastAsia"/>
          </w:rPr>
          <w:t>前言</w:t>
        </w:r>
        <w:r>
          <w:tab/>
        </w:r>
        <w:r>
          <w:fldChar w:fldCharType="begin"/>
        </w:r>
        <w:r>
          <w:instrText xml:space="preserve"> PAGEREF _Toc207635015 \h </w:instrText>
        </w:r>
        <w:r>
          <w:fldChar w:fldCharType="separate"/>
        </w:r>
        <w:r w:rsidR="00C13BF4">
          <w:rPr>
            <w:noProof/>
          </w:rPr>
          <w:t>II</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16"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_Toc207635016 \h </w:instrText>
        </w:r>
        <w:r>
          <w:fldChar w:fldCharType="separate"/>
        </w:r>
        <w:r w:rsidR="00C13BF4">
          <w:rPr>
            <w:noProof/>
          </w:rPr>
          <w:t>1</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17"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_Toc207635017 \h </w:instrText>
        </w:r>
        <w:r>
          <w:fldChar w:fldCharType="separate"/>
        </w:r>
        <w:r w:rsidR="00C13BF4">
          <w:rPr>
            <w:noProof/>
          </w:rPr>
          <w:t>1</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18"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_Toc207635018 \h </w:instrText>
        </w:r>
        <w:r>
          <w:fldChar w:fldCharType="separate"/>
        </w:r>
        <w:r w:rsidR="00C13BF4">
          <w:rPr>
            <w:noProof/>
          </w:rPr>
          <w:t>1</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19" w:history="1">
        <w:r>
          <w:rPr>
            <w:rStyle w:val="affff5"/>
          </w:rPr>
          <w:t xml:space="preserve">4 </w:t>
        </w:r>
        <w:r>
          <w:rPr>
            <w:rStyle w:val="affff5"/>
            <w:rFonts w:hint="eastAsia"/>
          </w:rPr>
          <w:t xml:space="preserve"> </w:t>
        </w:r>
        <w:r>
          <w:rPr>
            <w:rStyle w:val="affff5"/>
            <w:rFonts w:hint="eastAsia"/>
          </w:rPr>
          <w:t>原材料选用</w:t>
        </w:r>
        <w:r>
          <w:tab/>
        </w:r>
        <w:r>
          <w:fldChar w:fldCharType="begin"/>
        </w:r>
        <w:r>
          <w:instrText xml:space="preserve"> PAGEREF _Toc207635019 \h </w:instrText>
        </w:r>
        <w:r>
          <w:fldChar w:fldCharType="separate"/>
        </w:r>
        <w:r w:rsidR="00C13BF4">
          <w:rPr>
            <w:noProof/>
          </w:rPr>
          <w:t>1</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20" w:history="1">
        <w:r>
          <w:rPr>
            <w:rStyle w:val="affff5"/>
          </w:rPr>
          <w:t xml:space="preserve">5 </w:t>
        </w:r>
        <w:r>
          <w:rPr>
            <w:rStyle w:val="affff5"/>
            <w:rFonts w:hint="eastAsia"/>
          </w:rPr>
          <w:t xml:space="preserve"> </w:t>
        </w:r>
        <w:r>
          <w:rPr>
            <w:rStyle w:val="affff5"/>
            <w:rFonts w:hint="eastAsia"/>
          </w:rPr>
          <w:t>绿色生产工艺</w:t>
        </w:r>
        <w:r>
          <w:tab/>
        </w:r>
        <w:r>
          <w:fldChar w:fldCharType="begin"/>
        </w:r>
        <w:r>
          <w:instrText xml:space="preserve"> PAGEREF _Toc207635020 \h </w:instrText>
        </w:r>
        <w:r>
          <w:fldChar w:fldCharType="separate"/>
        </w:r>
        <w:r w:rsidR="00C13BF4">
          <w:rPr>
            <w:noProof/>
          </w:rPr>
          <w:t>2</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21" w:history="1">
        <w:r>
          <w:rPr>
            <w:rStyle w:val="affff5"/>
          </w:rPr>
          <w:t xml:space="preserve">6 </w:t>
        </w:r>
        <w:r>
          <w:rPr>
            <w:rStyle w:val="affff5"/>
            <w:rFonts w:hint="eastAsia"/>
          </w:rPr>
          <w:t xml:space="preserve"> </w:t>
        </w:r>
        <w:r>
          <w:rPr>
            <w:rStyle w:val="affff5"/>
            <w:rFonts w:hint="eastAsia"/>
          </w:rPr>
          <w:t>能源消耗控制</w:t>
        </w:r>
        <w:r>
          <w:tab/>
        </w:r>
        <w:r>
          <w:fldChar w:fldCharType="begin"/>
        </w:r>
        <w:r>
          <w:instrText xml:space="preserve"> PAGEREF _Toc207635021 \h </w:instrText>
        </w:r>
        <w:r>
          <w:fldChar w:fldCharType="separate"/>
        </w:r>
        <w:r w:rsidR="00C13BF4">
          <w:rPr>
            <w:noProof/>
          </w:rPr>
          <w:t>3</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22" w:history="1">
        <w:r>
          <w:rPr>
            <w:rStyle w:val="affff5"/>
          </w:rPr>
          <w:t xml:space="preserve">7 </w:t>
        </w:r>
        <w:r>
          <w:rPr>
            <w:rStyle w:val="affff5"/>
            <w:rFonts w:hint="eastAsia"/>
          </w:rPr>
          <w:t xml:space="preserve"> </w:t>
        </w:r>
        <w:r>
          <w:rPr>
            <w:rStyle w:val="affff5"/>
            <w:rFonts w:hint="eastAsia"/>
          </w:rPr>
          <w:t>标识、包装、运输和储存</w:t>
        </w:r>
        <w:r>
          <w:tab/>
        </w:r>
        <w:r>
          <w:fldChar w:fldCharType="begin"/>
        </w:r>
        <w:r>
          <w:instrText xml:space="preserve"> PAGEREF _Toc207635022 \h </w:instrText>
        </w:r>
        <w:r>
          <w:fldChar w:fldCharType="separate"/>
        </w:r>
        <w:r w:rsidR="00C13BF4">
          <w:rPr>
            <w:noProof/>
          </w:rPr>
          <w:t>4</w:t>
        </w:r>
        <w:r>
          <w:fldChar w:fldCharType="end"/>
        </w:r>
      </w:hyperlink>
    </w:p>
    <w:p w:rsidR="00960961" w:rsidRDefault="00CE6772">
      <w:pPr>
        <w:pStyle w:val="10"/>
        <w:tabs>
          <w:tab w:val="right" w:leader="dot" w:pos="9344"/>
        </w:tabs>
        <w:rPr>
          <w:rFonts w:asciiTheme="minorHAnsi" w:eastAsiaTheme="minorEastAsia" w:hAnsiTheme="minorHAnsi" w:cstheme="minorBidi"/>
          <w:szCs w:val="22"/>
        </w:rPr>
      </w:pPr>
      <w:hyperlink w:anchor="_Toc207635023" w:history="1">
        <w:r>
          <w:rPr>
            <w:rStyle w:val="affff5"/>
          </w:rPr>
          <w:t xml:space="preserve">8 </w:t>
        </w:r>
        <w:r>
          <w:rPr>
            <w:rStyle w:val="affff5"/>
            <w:rFonts w:hint="eastAsia"/>
          </w:rPr>
          <w:t xml:space="preserve"> </w:t>
        </w:r>
        <w:r>
          <w:rPr>
            <w:rStyle w:val="affff5"/>
            <w:rFonts w:hint="eastAsia"/>
          </w:rPr>
          <w:t>污染物排放管理要求</w:t>
        </w:r>
        <w:r>
          <w:tab/>
        </w:r>
        <w:r>
          <w:fldChar w:fldCharType="begin"/>
        </w:r>
        <w:r>
          <w:instrText xml:space="preserve"> PAGEREF _Toc207635023 \h </w:instrText>
        </w:r>
        <w:r>
          <w:fldChar w:fldCharType="separate"/>
        </w:r>
        <w:r w:rsidR="00C13BF4">
          <w:rPr>
            <w:noProof/>
          </w:rPr>
          <w:t>4</w:t>
        </w:r>
        <w:r>
          <w:fldChar w:fldCharType="end"/>
        </w:r>
      </w:hyperlink>
    </w:p>
    <w:p w:rsidR="00960961" w:rsidRDefault="00CE6772">
      <w:pPr>
        <w:pStyle w:val="affffff3"/>
        <w:spacing w:after="360"/>
        <w:sectPr w:rsidR="00960961">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960961" w:rsidRDefault="00CE6772">
      <w:pPr>
        <w:pStyle w:val="a6"/>
        <w:spacing w:before="900" w:after="360"/>
      </w:pPr>
      <w:bookmarkStart w:id="40" w:name="_Toc207635015"/>
      <w:bookmarkStart w:id="41" w:name="BookMark2"/>
      <w:bookmarkEnd w:id="22"/>
      <w:r>
        <w:rPr>
          <w:spacing w:val="320"/>
        </w:rPr>
        <w:lastRenderedPageBreak/>
        <w:t>前</w:t>
      </w:r>
      <w:r>
        <w:t>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60961" w:rsidRDefault="00CE6772">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960961" w:rsidRDefault="00CE6772">
      <w:pPr>
        <w:pStyle w:val="affffe"/>
        <w:ind w:firstLine="420"/>
      </w:pPr>
      <w:r>
        <w:rPr>
          <w:rFonts w:hint="eastAsia"/>
        </w:rPr>
        <w:t>请注意本文件的某些内容可能涉及专利。本文件的发布机构不承担识别专利的责任。</w:t>
      </w:r>
    </w:p>
    <w:p w:rsidR="00960961" w:rsidRDefault="00CE6772">
      <w:pPr>
        <w:pStyle w:val="affffe"/>
        <w:ind w:firstLine="420"/>
      </w:pPr>
      <w:r>
        <w:rPr>
          <w:rFonts w:hint="eastAsia"/>
        </w:rPr>
        <w:t>本文件由江苏华灿电讯集团股份有限公司提出。</w:t>
      </w:r>
    </w:p>
    <w:p w:rsidR="00960961" w:rsidRDefault="00CE6772">
      <w:pPr>
        <w:pStyle w:val="affffe"/>
        <w:ind w:firstLine="420"/>
      </w:pPr>
      <w:r>
        <w:rPr>
          <w:rFonts w:hint="eastAsia"/>
        </w:rPr>
        <w:t>本文件由中国商品学会归口。</w:t>
      </w:r>
    </w:p>
    <w:p w:rsidR="00960961" w:rsidRDefault="00CE6772">
      <w:pPr>
        <w:pStyle w:val="affffe"/>
        <w:ind w:firstLine="420"/>
      </w:pPr>
      <w:r>
        <w:rPr>
          <w:rFonts w:hint="eastAsia"/>
        </w:rPr>
        <w:t>本文件起草单位：江苏华灿电讯集团股份有限公司。</w:t>
      </w:r>
    </w:p>
    <w:p w:rsidR="00960961" w:rsidRDefault="00CE6772">
      <w:pPr>
        <w:pStyle w:val="affffe"/>
        <w:ind w:firstLine="420"/>
        <w:sectPr w:rsidR="00960961">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960961" w:rsidRDefault="00960961">
      <w:pPr>
        <w:spacing w:line="20" w:lineRule="exact"/>
        <w:jc w:val="center"/>
        <w:rPr>
          <w:rFonts w:ascii="黑体" w:eastAsia="黑体" w:hAnsi="黑体"/>
          <w:sz w:val="32"/>
          <w:szCs w:val="32"/>
        </w:rPr>
      </w:pPr>
      <w:bookmarkStart w:id="42" w:name="BookMark4"/>
      <w:bookmarkEnd w:id="41"/>
    </w:p>
    <w:p w:rsidR="00960961" w:rsidRDefault="00960961">
      <w:pPr>
        <w:spacing w:line="20" w:lineRule="exact"/>
        <w:jc w:val="center"/>
        <w:rPr>
          <w:rFonts w:ascii="黑体" w:eastAsia="黑体" w:hAnsi="黑体"/>
          <w:sz w:val="32"/>
          <w:szCs w:val="32"/>
        </w:rPr>
      </w:pPr>
    </w:p>
    <w:bookmarkStart w:id="43" w:name="NEW_STAND_NAME" w:displacedByCustomXml="next"/>
    <w:bookmarkStart w:id="44" w:name="OLE_LINK3" w:displacedByCustomXml="next"/>
    <w:bookmarkStart w:id="45" w:name="OLE_LINK2" w:displacedByCustomXml="next"/>
    <w:bookmarkStart w:id="46" w:name="OLE_LINK1" w:displacedByCustomXml="next"/>
    <w:sdt>
      <w:sdtPr>
        <w:tag w:val="NEW_STAND_NAME"/>
        <w:id w:val="595910757"/>
        <w:lock w:val="sdtLocked"/>
        <w:placeholder>
          <w:docPart w:val="3DBDAD553443420EB62B03F0A4A77B27"/>
        </w:placeholder>
      </w:sdtPr>
      <w:sdtEndPr/>
      <w:sdtContent>
        <w:p w:rsidR="00960961" w:rsidRDefault="00CE6772">
          <w:pPr>
            <w:pStyle w:val="afffffffff1"/>
            <w:spacing w:beforeLines="1" w:before="2" w:afterLines="220" w:after="528"/>
          </w:pPr>
          <w:r>
            <w:rPr>
              <w:rFonts w:hint="eastAsia"/>
            </w:rPr>
            <w:t>电力铁塔绿色生产技术指南</w:t>
          </w:r>
        </w:p>
      </w:sdtContent>
    </w:sdt>
    <w:p w:rsidR="00960961" w:rsidRDefault="00CE6772">
      <w:pPr>
        <w:pStyle w:val="affc"/>
        <w:spacing w:before="240" w:after="240" w:line="24" w:lineRule="atLeast"/>
      </w:pPr>
      <w:bookmarkStart w:id="47" w:name="_Toc24884218"/>
      <w:bookmarkStart w:id="48" w:name="_Toc26718930"/>
      <w:bookmarkStart w:id="49" w:name="_Toc26986530"/>
      <w:bookmarkStart w:id="50" w:name="_Toc26986771"/>
      <w:bookmarkStart w:id="51" w:name="_Toc97192964"/>
      <w:bookmarkStart w:id="52" w:name="_Toc26648465"/>
      <w:bookmarkStart w:id="53" w:name="_Toc17233325"/>
      <w:bookmarkStart w:id="54" w:name="_Toc185860852"/>
      <w:bookmarkStart w:id="55" w:name="_Toc24884211"/>
      <w:bookmarkStart w:id="56" w:name="_Toc188533071"/>
      <w:bookmarkStart w:id="57" w:name="_Toc17233333"/>
      <w:bookmarkStart w:id="58" w:name="_Toc205213784"/>
      <w:bookmarkStart w:id="59" w:name="_Toc194407738"/>
      <w:bookmarkStart w:id="60" w:name="_Toc206079767"/>
      <w:bookmarkStart w:id="61" w:name="_Toc207358121"/>
      <w:bookmarkStart w:id="62" w:name="_Toc190359139"/>
      <w:bookmarkStart w:id="63" w:name="_Toc200463744"/>
      <w:bookmarkStart w:id="64" w:name="_Toc188618514"/>
      <w:bookmarkStart w:id="65" w:name="_Toc206075720"/>
      <w:bookmarkStart w:id="66" w:name="_Toc207633919"/>
      <w:bookmarkStart w:id="67" w:name="_Toc201743754"/>
      <w:bookmarkStart w:id="68" w:name="_Toc207635016"/>
      <w:bookmarkStart w:id="69" w:name="_Toc191051700"/>
      <w:bookmarkStart w:id="70" w:name="_Toc196215181"/>
      <w:bookmarkStart w:id="71" w:name="_Toc194939252"/>
      <w:bookmarkStart w:id="72" w:name="_Toc204852682"/>
      <w:bookmarkStart w:id="73" w:name="_Toc188533833"/>
      <w:bookmarkEnd w:id="46"/>
      <w:bookmarkEnd w:id="45"/>
      <w:bookmarkEnd w:id="44"/>
      <w:bookmarkEnd w:id="43"/>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960961" w:rsidRDefault="00CE6772">
      <w:pPr>
        <w:pStyle w:val="affffe"/>
        <w:spacing w:line="24" w:lineRule="atLeast"/>
        <w:ind w:firstLine="420"/>
      </w:pPr>
      <w:bookmarkStart w:id="74" w:name="_Toc17233334"/>
      <w:bookmarkStart w:id="75" w:name="_Toc26648466"/>
      <w:bookmarkStart w:id="76" w:name="_Toc24884219"/>
      <w:bookmarkStart w:id="77" w:name="_Toc24884212"/>
      <w:bookmarkStart w:id="78" w:name="_Toc17233326"/>
      <w:r>
        <w:rPr>
          <w:rFonts w:hint="eastAsia"/>
        </w:rPr>
        <w:t>本文件提供了电力铁塔绿色生产的指导和建议，给出了原材料选用、绿色生产工艺、能源消耗控制、标识、包装、运输和储存、污染物排放管理要求等有关信息。</w:t>
      </w:r>
    </w:p>
    <w:p w:rsidR="00960961" w:rsidRDefault="00CE6772">
      <w:pPr>
        <w:pStyle w:val="affffe"/>
        <w:spacing w:line="24" w:lineRule="atLeast"/>
        <w:ind w:firstLine="420"/>
      </w:pPr>
      <w:r>
        <w:rPr>
          <w:rFonts w:hint="eastAsia"/>
        </w:rPr>
        <w:t>本文件适用于电力铁塔绿色生产活动。</w:t>
      </w:r>
    </w:p>
    <w:p w:rsidR="00960961" w:rsidRDefault="00CE6772">
      <w:pPr>
        <w:pStyle w:val="affc"/>
        <w:spacing w:before="240" w:after="240" w:line="24" w:lineRule="atLeast"/>
      </w:pPr>
      <w:bookmarkStart w:id="79" w:name="_Toc26986531"/>
      <w:bookmarkStart w:id="80" w:name="_Toc191051701"/>
      <w:bookmarkStart w:id="81" w:name="_Toc196215182"/>
      <w:bookmarkStart w:id="82" w:name="_Toc200463745"/>
      <w:bookmarkStart w:id="83" w:name="_Toc205213785"/>
      <w:bookmarkStart w:id="84" w:name="_Toc206075721"/>
      <w:bookmarkStart w:id="85" w:name="_Toc188533072"/>
      <w:bookmarkStart w:id="86" w:name="_Toc204852683"/>
      <w:bookmarkStart w:id="87" w:name="_Toc206079768"/>
      <w:bookmarkStart w:id="88" w:name="_Toc188618515"/>
      <w:bookmarkStart w:id="89" w:name="_Toc201743755"/>
      <w:bookmarkStart w:id="90" w:name="_Toc194407739"/>
      <w:bookmarkStart w:id="91" w:name="_Toc207358122"/>
      <w:bookmarkStart w:id="92" w:name="_Toc97192965"/>
      <w:bookmarkStart w:id="93" w:name="_Toc26986772"/>
      <w:bookmarkStart w:id="94" w:name="_Toc194939253"/>
      <w:bookmarkStart w:id="95" w:name="_Toc185860853"/>
      <w:bookmarkStart w:id="96" w:name="_Toc188533834"/>
      <w:bookmarkStart w:id="97" w:name="_Toc26718931"/>
      <w:bookmarkStart w:id="98" w:name="_Toc190359140"/>
      <w:bookmarkStart w:id="99" w:name="_Toc207633920"/>
      <w:bookmarkStart w:id="100" w:name="_Toc207635017"/>
      <w:r>
        <w:rPr>
          <w:rFonts w:hint="eastAsia"/>
        </w:rPr>
        <w:t>规范性引用文件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60961" w:rsidRDefault="00CE6772">
          <w:pPr>
            <w:pStyle w:val="affffe"/>
            <w:spacing w:line="24" w:lineRule="atLeas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60961" w:rsidRDefault="00CE6772">
      <w:pPr>
        <w:pStyle w:val="affffe"/>
        <w:ind w:firstLine="420"/>
      </w:pPr>
      <w:bookmarkStart w:id="101" w:name="_Toc201743756"/>
      <w:bookmarkStart w:id="102" w:name="_Toc194939254"/>
      <w:bookmarkStart w:id="103" w:name="_Toc200463746"/>
      <w:bookmarkStart w:id="104" w:name="_Toc205213786"/>
      <w:bookmarkStart w:id="105" w:name="_Toc97192966"/>
      <w:bookmarkStart w:id="106" w:name="_Toc206075722"/>
      <w:bookmarkStart w:id="107" w:name="_Toc190359141"/>
      <w:bookmarkStart w:id="108" w:name="_Toc191051702"/>
      <w:bookmarkStart w:id="109" w:name="_Toc188533073"/>
      <w:bookmarkStart w:id="110" w:name="_Toc204852684"/>
      <w:bookmarkStart w:id="111" w:name="_Toc206079769"/>
      <w:bookmarkStart w:id="112" w:name="_Toc188533835"/>
      <w:bookmarkStart w:id="113" w:name="_Toc188618516"/>
      <w:bookmarkStart w:id="114" w:name="_Toc194407740"/>
      <w:bookmarkStart w:id="115" w:name="_Toc196215183"/>
      <w:bookmarkStart w:id="116" w:name="_Toc185860854"/>
      <w:r>
        <w:rPr>
          <w:rFonts w:hint="eastAsia"/>
        </w:rPr>
        <w:t>GB/T 470</w:t>
      </w:r>
      <w:r>
        <w:t xml:space="preserve"> </w:t>
      </w:r>
      <w:r>
        <w:rPr>
          <w:rFonts w:hint="eastAsia"/>
        </w:rPr>
        <w:t>锌锭</w:t>
      </w:r>
    </w:p>
    <w:p w:rsidR="00960961" w:rsidRDefault="00CE6772">
      <w:pPr>
        <w:pStyle w:val="affffe"/>
        <w:ind w:firstLine="420"/>
      </w:pPr>
      <w:r>
        <w:rPr>
          <w:rFonts w:hint="eastAsia"/>
        </w:rPr>
        <w:t>GB/T 1591</w:t>
      </w:r>
      <w:r>
        <w:rPr>
          <w:rFonts w:ascii="Calibri" w:hAnsi="Calibri"/>
          <w:kern w:val="2"/>
          <w:szCs w:val="21"/>
        </w:rPr>
        <w:t xml:space="preserve"> </w:t>
      </w:r>
      <w:hyperlink r:id="rId21" w:tgtFrame="_blank" w:history="1">
        <w:r>
          <w:rPr>
            <w:rStyle w:val="affff5"/>
          </w:rPr>
          <w:t>低合金高强度结构钢</w:t>
        </w:r>
      </w:hyperlink>
    </w:p>
    <w:p w:rsidR="00960961" w:rsidRDefault="00CE6772">
      <w:pPr>
        <w:pStyle w:val="affffe"/>
        <w:ind w:firstLine="420"/>
      </w:pPr>
      <w:r>
        <w:rPr>
          <w:rFonts w:hint="eastAsia"/>
        </w:rPr>
        <w:t>GB/T 5117</w:t>
      </w:r>
      <w:r>
        <w:rPr>
          <w:rFonts w:ascii="Calibri" w:hAnsi="Calibri"/>
          <w:kern w:val="2"/>
          <w:szCs w:val="21"/>
        </w:rPr>
        <w:t xml:space="preserve"> </w:t>
      </w:r>
      <w:hyperlink r:id="rId22" w:tgtFrame="_blank" w:history="1">
        <w:r>
          <w:rPr>
            <w:rStyle w:val="affff5"/>
          </w:rPr>
          <w:t>非合金钢及细晶粒钢</w:t>
        </w:r>
        <w:r>
          <w:rPr>
            <w:rStyle w:val="affff5"/>
          </w:rPr>
          <w:t>焊条</w:t>
        </w:r>
      </w:hyperlink>
    </w:p>
    <w:p w:rsidR="00960961" w:rsidRDefault="00CE6772">
      <w:pPr>
        <w:pStyle w:val="affffe"/>
        <w:ind w:firstLine="420"/>
      </w:pPr>
      <w:r>
        <w:rPr>
          <w:rFonts w:hint="eastAsia"/>
        </w:rPr>
        <w:t>GB/T 5118</w:t>
      </w:r>
      <w:r>
        <w:rPr>
          <w:rFonts w:ascii="Calibri" w:hAnsi="Calibri"/>
          <w:kern w:val="2"/>
          <w:szCs w:val="21"/>
        </w:rPr>
        <w:t xml:space="preserve"> </w:t>
      </w:r>
      <w:hyperlink r:id="rId23" w:tgtFrame="_blank" w:history="1">
        <w:r>
          <w:rPr>
            <w:rStyle w:val="affff5"/>
          </w:rPr>
          <w:t>热强钢焊条</w:t>
        </w:r>
      </w:hyperlink>
    </w:p>
    <w:p w:rsidR="00960961" w:rsidRDefault="00CE6772">
      <w:pPr>
        <w:pStyle w:val="affffe"/>
        <w:ind w:firstLine="420"/>
      </w:pPr>
      <w:r>
        <w:rPr>
          <w:rFonts w:hint="eastAsia"/>
        </w:rPr>
        <w:t xml:space="preserve">GB 8978 </w:t>
      </w:r>
      <w:hyperlink r:id="rId24" w:tgtFrame="_blank" w:history="1">
        <w:r>
          <w:rPr>
            <w:rStyle w:val="affff5"/>
          </w:rPr>
          <w:t>污水综合排放标准</w:t>
        </w:r>
      </w:hyperlink>
    </w:p>
    <w:p w:rsidR="00960961" w:rsidRDefault="00CE6772">
      <w:pPr>
        <w:pStyle w:val="affffe"/>
        <w:ind w:firstLine="420"/>
      </w:pPr>
      <w:r>
        <w:rPr>
          <w:rFonts w:hint="eastAsia"/>
        </w:rPr>
        <w:t>GB 12348</w:t>
      </w:r>
      <w:r>
        <w:rPr>
          <w:rFonts w:ascii="Calibri" w:hAnsi="Calibri"/>
          <w:kern w:val="2"/>
          <w:szCs w:val="21"/>
        </w:rPr>
        <w:t xml:space="preserve"> </w:t>
      </w:r>
      <w:hyperlink r:id="rId25" w:tgtFrame="_blank" w:history="1">
        <w:r>
          <w:rPr>
            <w:rStyle w:val="affff5"/>
          </w:rPr>
          <w:t>工业企业厂界环境噪声排放标准</w:t>
        </w:r>
      </w:hyperlink>
    </w:p>
    <w:p w:rsidR="00960961" w:rsidRDefault="00CE6772">
      <w:pPr>
        <w:pStyle w:val="affffe"/>
        <w:ind w:firstLine="420"/>
      </w:pPr>
      <w:r>
        <w:rPr>
          <w:rFonts w:hint="eastAsia"/>
        </w:rPr>
        <w:t xml:space="preserve">GB/T 13306 </w:t>
      </w:r>
      <w:r>
        <w:rPr>
          <w:rFonts w:hint="eastAsia"/>
        </w:rPr>
        <w:t>标牌</w:t>
      </w:r>
    </w:p>
    <w:p w:rsidR="00960961" w:rsidRDefault="00CE6772">
      <w:pPr>
        <w:pStyle w:val="affffe"/>
        <w:ind w:firstLine="420"/>
      </w:pPr>
      <w:r>
        <w:rPr>
          <w:rFonts w:hint="eastAsia"/>
        </w:rPr>
        <w:t>GB 16297</w:t>
      </w:r>
      <w:r>
        <w:rPr>
          <w:rFonts w:ascii="Calibri" w:hAnsi="Calibri"/>
          <w:kern w:val="2"/>
          <w:szCs w:val="21"/>
        </w:rPr>
        <w:t xml:space="preserve"> </w:t>
      </w:r>
      <w:hyperlink r:id="rId26" w:tgtFrame="_blank" w:history="1">
        <w:r>
          <w:rPr>
            <w:rStyle w:val="affff5"/>
          </w:rPr>
          <w:t> </w:t>
        </w:r>
        <w:r>
          <w:rPr>
            <w:rStyle w:val="affff5"/>
          </w:rPr>
          <w:t>大气污染物综合排放标准</w:t>
        </w:r>
      </w:hyperlink>
    </w:p>
    <w:p w:rsidR="00960961" w:rsidRDefault="00CE6772">
      <w:pPr>
        <w:pStyle w:val="affffe"/>
        <w:ind w:firstLine="420"/>
      </w:pPr>
      <w:r>
        <w:rPr>
          <w:rFonts w:hint="eastAsia"/>
        </w:rPr>
        <w:t xml:space="preserve">GB 17167 </w:t>
      </w:r>
      <w:r>
        <w:rPr>
          <w:rFonts w:hint="eastAsia"/>
        </w:rPr>
        <w:t>用能单位能源计量器具配备和管理通则</w:t>
      </w:r>
    </w:p>
    <w:p w:rsidR="00960961" w:rsidRDefault="00CE6772">
      <w:pPr>
        <w:pStyle w:val="affffe"/>
        <w:ind w:firstLine="420"/>
      </w:pPr>
      <w:r>
        <w:rPr>
          <w:rFonts w:hint="eastAsia"/>
        </w:rPr>
        <w:t>GB 30981</w:t>
      </w:r>
      <w:r>
        <w:rPr>
          <w:rFonts w:ascii="Calibri" w:hAnsi="Calibri"/>
          <w:kern w:val="2"/>
          <w:szCs w:val="21"/>
        </w:rPr>
        <w:t xml:space="preserve"> </w:t>
      </w:r>
      <w:hyperlink r:id="rId27" w:tgtFrame="_blank" w:history="1">
        <w:r>
          <w:rPr>
            <w:rStyle w:val="affff5"/>
          </w:rPr>
          <w:t>工业防护涂料中有害物质限量</w:t>
        </w:r>
      </w:hyperlink>
    </w:p>
    <w:p w:rsidR="00960961" w:rsidRDefault="00CE6772">
      <w:pPr>
        <w:pStyle w:val="affffe"/>
        <w:ind w:firstLine="420"/>
      </w:pPr>
      <w:r>
        <w:rPr>
          <w:rFonts w:hint="eastAsia"/>
        </w:rPr>
        <w:t>GB/T 23331</w:t>
      </w:r>
      <w:r>
        <w:rPr>
          <w:rFonts w:ascii="Calibri" w:hAnsi="Calibri"/>
          <w:kern w:val="2"/>
          <w:szCs w:val="21"/>
        </w:rPr>
        <w:t xml:space="preserve"> </w:t>
      </w:r>
      <w:hyperlink r:id="rId28" w:tgtFrame="_blank" w:history="1">
        <w:r>
          <w:rPr>
            <w:rStyle w:val="affff5"/>
          </w:rPr>
          <w:t>能源管理体系</w:t>
        </w:r>
        <w:r>
          <w:rPr>
            <w:rStyle w:val="affff5"/>
          </w:rPr>
          <w:t xml:space="preserve"> </w:t>
        </w:r>
        <w:r>
          <w:rPr>
            <w:rStyle w:val="affff5"/>
          </w:rPr>
          <w:t>要求及使用指南</w:t>
        </w:r>
      </w:hyperlink>
    </w:p>
    <w:p w:rsidR="00960961" w:rsidRDefault="00CE6772">
      <w:pPr>
        <w:pStyle w:val="affc"/>
        <w:spacing w:before="240" w:after="240" w:line="24" w:lineRule="atLeast"/>
      </w:pPr>
      <w:bookmarkStart w:id="117" w:name="_Toc207358123"/>
      <w:bookmarkStart w:id="118" w:name="_Toc207633921"/>
      <w:bookmarkStart w:id="119" w:name="_Toc207635018"/>
      <w:r>
        <w:rPr>
          <w:rFonts w:hint="eastAsia"/>
          <w:szCs w:val="21"/>
        </w:rPr>
        <w:t>术语和定义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bookmarkStart w:id="120" w:name="OLE_LINK4" w:displacedByCustomXml="next"/>
    <w:bookmarkEnd w:id="120" w:displacedByCustomXml="next"/>
    <w:bookmarkStart w:id="121" w:name="_Toc26986532" w:displacedByCustomXml="next"/>
    <w:bookmarkEnd w:id="121" w:displacedByCustomXml="next"/>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60961" w:rsidRDefault="00CE6772">
          <w:pPr>
            <w:pStyle w:val="affffe"/>
            <w:spacing w:line="24" w:lineRule="atLeast"/>
            <w:ind w:firstLine="420"/>
          </w:pPr>
          <w:r>
            <w:t>下列术语和定义适用于本文件。</w:t>
          </w:r>
        </w:p>
      </w:sdtContent>
    </w:sdt>
    <w:p w:rsidR="00960961" w:rsidRDefault="00CE6772">
      <w:pPr>
        <w:pStyle w:val="affffffffffd"/>
        <w:ind w:left="420" w:hangingChars="200" w:hanging="420"/>
        <w:rPr>
          <w:rFonts w:ascii="黑体" w:eastAsia="黑体" w:hAnsi="黑体"/>
        </w:rPr>
      </w:pPr>
      <w:bookmarkStart w:id="122" w:name="_Toc207358124"/>
      <w:r>
        <w:rPr>
          <w:rFonts w:ascii="黑体" w:eastAsia="黑体" w:hAnsi="黑体"/>
        </w:rPr>
        <w:br/>
      </w:r>
      <w:r>
        <w:rPr>
          <w:rFonts w:ascii="黑体" w:eastAsia="黑体" w:hAnsi="黑体" w:hint="eastAsia"/>
        </w:rPr>
        <w:t>电力铁塔</w:t>
      </w:r>
      <w:r>
        <w:rPr>
          <w:rFonts w:ascii="黑体" w:eastAsia="黑体" w:hAnsi="黑体" w:hint="eastAsia"/>
        </w:rPr>
        <w:t xml:space="preserve">  </w:t>
      </w:r>
      <w:r>
        <w:rPr>
          <w:rFonts w:ascii="黑体" w:eastAsia="黑体" w:hAnsi="黑体"/>
        </w:rPr>
        <w:t>electric power towers</w:t>
      </w:r>
    </w:p>
    <w:p w:rsidR="00960961" w:rsidRDefault="00CE6772">
      <w:pPr>
        <w:pStyle w:val="affffe"/>
        <w:ind w:firstLine="420"/>
      </w:pPr>
      <w:r>
        <w:rPr>
          <w:rFonts w:hint="eastAsia"/>
        </w:rPr>
        <w:t>用于架空输电线路中支撑导线、避雷线，并使导线、避雷线、杆塔和大地之间保持一定安全距离的钢结构架，主要包括角钢塔、钢管塔、钢管杆等类型。</w:t>
      </w:r>
    </w:p>
    <w:p w:rsidR="00960961" w:rsidRDefault="00CE6772">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绿色生产</w:t>
      </w:r>
      <w:r>
        <w:rPr>
          <w:rFonts w:ascii="黑体" w:eastAsia="黑体" w:hAnsi="黑体" w:hint="eastAsia"/>
        </w:rPr>
        <w:t xml:space="preserve">  g</w:t>
      </w:r>
      <w:r>
        <w:rPr>
          <w:rFonts w:ascii="黑体" w:eastAsia="黑体" w:hAnsi="黑体"/>
        </w:rPr>
        <w:t>reen production</w:t>
      </w:r>
    </w:p>
    <w:p w:rsidR="00960961" w:rsidRDefault="00CE6772">
      <w:pPr>
        <w:pStyle w:val="affffe"/>
        <w:ind w:firstLine="420"/>
      </w:pPr>
      <w:r>
        <w:rPr>
          <w:rFonts w:hint="eastAsia"/>
        </w:rPr>
        <w:t>在电力铁塔生产全过程中，遵循环境保护、资源节约、能源高效利用的原则，通过优化生产工艺、加强过程管控、采用先进技术等手段，减少污染物排放和能源消耗，降低对生态环境的影响，实现经济效益、环境效益和社会效益协调发展的生产方式。</w:t>
      </w:r>
    </w:p>
    <w:p w:rsidR="00960961" w:rsidRDefault="00CE6772">
      <w:pPr>
        <w:pStyle w:val="affc"/>
        <w:spacing w:before="240" w:after="240"/>
      </w:pPr>
      <w:bookmarkStart w:id="123" w:name="_Toc207633922"/>
      <w:bookmarkStart w:id="124" w:name="_Toc207635019"/>
      <w:bookmarkEnd w:id="122"/>
      <w:r>
        <w:rPr>
          <w:rFonts w:hint="eastAsia"/>
        </w:rPr>
        <w:t>原材料选用</w:t>
      </w:r>
      <w:bookmarkEnd w:id="123"/>
      <w:bookmarkEnd w:id="124"/>
    </w:p>
    <w:p w:rsidR="00960961" w:rsidRDefault="00CE6772">
      <w:pPr>
        <w:pStyle w:val="affd"/>
        <w:spacing w:before="120" w:after="120"/>
      </w:pPr>
      <w:r>
        <w:rPr>
          <w:rFonts w:hint="eastAsia"/>
        </w:rPr>
        <w:t>钢材选用</w:t>
      </w:r>
    </w:p>
    <w:p w:rsidR="00960961" w:rsidRDefault="00CE6772">
      <w:pPr>
        <w:pStyle w:val="affffffffa"/>
      </w:pPr>
      <w:r>
        <w:rPr>
          <w:rFonts w:hint="eastAsia"/>
        </w:rPr>
        <w:t>优先选用符合国家产业政策、具有绿色产品认证标识的钢材，如低合金高强度结构钢（</w:t>
      </w:r>
      <w:r>
        <w:rPr>
          <w:rFonts w:hint="eastAsia"/>
        </w:rPr>
        <w:t xml:space="preserve">Q355 </w:t>
      </w:r>
      <w:r>
        <w:rPr>
          <w:rFonts w:hint="eastAsia"/>
        </w:rPr>
        <w:t>系列等），其力学性能、化学成分应符合</w:t>
      </w:r>
      <w:r>
        <w:rPr>
          <w:rFonts w:hint="eastAsia"/>
        </w:rPr>
        <w:t xml:space="preserve"> GB/T 1591 </w:t>
      </w:r>
      <w:r>
        <w:rPr>
          <w:rFonts w:hint="eastAsia"/>
        </w:rPr>
        <w:t>的要求。</w:t>
      </w:r>
    </w:p>
    <w:p w:rsidR="00960961" w:rsidRDefault="00CE6772">
      <w:pPr>
        <w:pStyle w:val="affffffffa"/>
      </w:pPr>
      <w:r>
        <w:rPr>
          <w:rFonts w:hint="eastAsia"/>
        </w:rPr>
        <w:t>钢材采购时，应要求供应商提供质量证明文件（如材质单、检验报告等），并在进料后进行抽样检验，检验项目包括外观质量、尺</w:t>
      </w:r>
      <w:r>
        <w:rPr>
          <w:rFonts w:hint="eastAsia"/>
        </w:rPr>
        <w:t>寸偏差、力学性能（抗拉强度、屈服强度、伸长率等）和化学成分分析，检验合格后方可进入后续开平、配料等工序。</w:t>
      </w:r>
    </w:p>
    <w:p w:rsidR="00960961" w:rsidRDefault="00CE6772">
      <w:pPr>
        <w:pStyle w:val="affffffffa"/>
      </w:pPr>
      <w:r>
        <w:rPr>
          <w:rFonts w:hint="eastAsia"/>
        </w:rPr>
        <w:t>不应使用国家明令淘汰的落后牌号钢材以及质量不合格、存在锈蚀、裂纹、夹层等缺陷的钢材。</w:t>
      </w:r>
    </w:p>
    <w:p w:rsidR="00960961" w:rsidRDefault="00CE6772">
      <w:pPr>
        <w:pStyle w:val="affd"/>
        <w:spacing w:before="120" w:after="120"/>
      </w:pPr>
      <w:r>
        <w:rPr>
          <w:rFonts w:hint="eastAsia"/>
        </w:rPr>
        <w:t>镀锌材料选用</w:t>
      </w:r>
    </w:p>
    <w:p w:rsidR="00960961" w:rsidRDefault="00CE6772">
      <w:pPr>
        <w:pStyle w:val="affffffffa"/>
      </w:pPr>
      <w:r>
        <w:rPr>
          <w:rFonts w:hint="eastAsia"/>
        </w:rPr>
        <w:lastRenderedPageBreak/>
        <w:t>热浸镀锌所用的锌锭应符合</w:t>
      </w:r>
      <w:r>
        <w:rPr>
          <w:rFonts w:hint="eastAsia"/>
        </w:rPr>
        <w:t xml:space="preserve"> GB/T 470 </w:t>
      </w:r>
      <w:r>
        <w:rPr>
          <w:rFonts w:hint="eastAsia"/>
        </w:rPr>
        <w:t>中</w:t>
      </w:r>
      <w:r>
        <w:rPr>
          <w:rFonts w:hint="eastAsia"/>
        </w:rPr>
        <w:t xml:space="preserve"> Zn99.995 </w:t>
      </w:r>
      <w:r>
        <w:rPr>
          <w:rFonts w:hint="eastAsia"/>
        </w:rPr>
        <w:t>或更高纯度级别的要求，不应使用含铅、镉等有害重金属超标的劣质锌锭。</w:t>
      </w:r>
    </w:p>
    <w:p w:rsidR="00960961" w:rsidRDefault="00CE6772">
      <w:pPr>
        <w:pStyle w:val="affffffffa"/>
      </w:pPr>
      <w:r>
        <w:rPr>
          <w:rFonts w:hint="eastAsia"/>
        </w:rPr>
        <w:t>镀锌过程中使用的助镀剂（如氯化锌</w:t>
      </w:r>
      <w:r>
        <w:rPr>
          <w:rFonts w:hint="eastAsia"/>
        </w:rPr>
        <w:t>-</w:t>
      </w:r>
      <w:r>
        <w:rPr>
          <w:rFonts w:hint="eastAsia"/>
        </w:rPr>
        <w:t>氯化铵溶液）应符合相关技术规范，其成分应稳定、环保，不应含有对人体健康和环境有害的物质，且应采取措施减少助镀剂的挥发和流失。</w:t>
      </w:r>
    </w:p>
    <w:p w:rsidR="00960961" w:rsidRDefault="00CE6772">
      <w:pPr>
        <w:pStyle w:val="affd"/>
        <w:spacing w:before="120" w:after="120"/>
      </w:pPr>
      <w:r>
        <w:rPr>
          <w:rFonts w:hint="eastAsia"/>
        </w:rPr>
        <w:t>辅助材料选用</w:t>
      </w:r>
    </w:p>
    <w:p w:rsidR="00960961" w:rsidRDefault="00CE6772">
      <w:pPr>
        <w:pStyle w:val="affffffffa"/>
      </w:pPr>
      <w:r>
        <w:rPr>
          <w:rFonts w:hint="eastAsia"/>
        </w:rPr>
        <w:t>焊接材料（焊条、焊丝、焊剂等）应选用低烟、低毒、高效的环保型产品，其性能应与所焊接的钢材匹配，符合</w:t>
      </w:r>
      <w:r>
        <w:rPr>
          <w:rFonts w:hint="eastAsia"/>
        </w:rPr>
        <w:t xml:space="preserve"> GB/T 5117</w:t>
      </w:r>
      <w:r>
        <w:rPr>
          <w:rFonts w:hint="eastAsia"/>
        </w:rPr>
        <w:t>、</w:t>
      </w:r>
      <w:r>
        <w:rPr>
          <w:rFonts w:hint="eastAsia"/>
        </w:rPr>
        <w:t xml:space="preserve">GB/T 5118 </w:t>
      </w:r>
      <w:r>
        <w:rPr>
          <w:rFonts w:hint="eastAsia"/>
        </w:rPr>
        <w:t>等要求，减少焊接过程中有害气体（如烟尘、氮氧化物等）的产生，以满足后续内埋弧、外埋弧等焊接工序的环保要求。</w:t>
      </w:r>
    </w:p>
    <w:p w:rsidR="00960961" w:rsidRDefault="00CE6772">
      <w:pPr>
        <w:pStyle w:val="affffffffa"/>
      </w:pPr>
      <w:r>
        <w:rPr>
          <w:rFonts w:hint="eastAsia"/>
        </w:rPr>
        <w:t>涂装材料（如防腐涂料）应选用水性涂料、高固体分涂料等环境友好型产品，其挥发性有机化合物（</w:t>
      </w:r>
      <w:r>
        <w:rPr>
          <w:rFonts w:hint="eastAsia"/>
        </w:rPr>
        <w:t>VOCs</w:t>
      </w:r>
      <w:r>
        <w:rPr>
          <w:rFonts w:hint="eastAsia"/>
        </w:rPr>
        <w:t>）含量应符</w:t>
      </w:r>
      <w:r>
        <w:rPr>
          <w:rFonts w:hint="eastAsia"/>
        </w:rPr>
        <w:t xml:space="preserve"> GB 30981 </w:t>
      </w:r>
      <w:r>
        <w:rPr>
          <w:rFonts w:hint="eastAsia"/>
        </w:rPr>
        <w:t>等限值标准，不应使用溶剂型涂料等高污染涂装材料，为喷涂工序提供环保保障。</w:t>
      </w:r>
    </w:p>
    <w:p w:rsidR="00960961" w:rsidRDefault="00CE6772">
      <w:pPr>
        <w:pStyle w:val="affffffffa"/>
      </w:pPr>
      <w:r>
        <w:rPr>
          <w:rFonts w:hint="eastAsia"/>
        </w:rPr>
        <w:t>润滑油、液压油等辅助油品宜选用节能、低污染型产品，其废弃后应按</w:t>
      </w:r>
      <w:r>
        <w:rPr>
          <w:rFonts w:hint="eastAsia"/>
        </w:rPr>
        <w:t>照危险废物管理要求进行处置，不应随意排放。</w:t>
      </w:r>
    </w:p>
    <w:p w:rsidR="00960961" w:rsidRDefault="00CE6772">
      <w:pPr>
        <w:pStyle w:val="affc"/>
        <w:spacing w:before="240" w:after="240"/>
      </w:pPr>
      <w:bookmarkStart w:id="125" w:name="_Toc207635020"/>
      <w:bookmarkStart w:id="126" w:name="_Toc207633923"/>
      <w:r>
        <w:rPr>
          <w:rFonts w:hint="eastAsia"/>
        </w:rPr>
        <w:t>绿色生产工艺</w:t>
      </w:r>
      <w:bookmarkEnd w:id="125"/>
      <w:bookmarkEnd w:id="126"/>
    </w:p>
    <w:p w:rsidR="00960961" w:rsidRDefault="00CE6772">
      <w:pPr>
        <w:pStyle w:val="affd"/>
        <w:spacing w:before="120" w:after="120"/>
      </w:pPr>
      <w:r>
        <w:rPr>
          <w:rFonts w:hint="eastAsia"/>
        </w:rPr>
        <w:t>进料</w:t>
      </w:r>
    </w:p>
    <w:p w:rsidR="00960961" w:rsidRDefault="00CE6772">
      <w:pPr>
        <w:pStyle w:val="affffe"/>
        <w:ind w:firstLine="420"/>
      </w:pPr>
      <w:r>
        <w:rPr>
          <w:rFonts w:hint="eastAsia"/>
        </w:rPr>
        <w:t>按照原材料选用要求进行钢材等原材料的采购与检验，确保进入生产流程的原材料质量合格、环保合规。</w:t>
      </w:r>
    </w:p>
    <w:p w:rsidR="00960961" w:rsidRDefault="00CE6772">
      <w:pPr>
        <w:pStyle w:val="affd"/>
        <w:spacing w:before="120" w:after="120"/>
      </w:pPr>
      <w:r>
        <w:rPr>
          <w:rFonts w:hint="eastAsia"/>
        </w:rPr>
        <w:t>开平、配料</w:t>
      </w:r>
    </w:p>
    <w:p w:rsidR="00960961" w:rsidRDefault="00CE6772">
      <w:pPr>
        <w:pStyle w:val="affffe"/>
        <w:ind w:firstLine="420"/>
      </w:pPr>
      <w:r>
        <w:rPr>
          <w:rFonts w:hint="eastAsia"/>
        </w:rPr>
        <w:t>采用数控开平设备对钢材进行开平处理，根据铁塔构件的设计尺寸进行精准配料，提高材料利用率，减少钢材浪费。配料过程中，利用计算机辅助设计（</w:t>
      </w:r>
      <w:r>
        <w:rPr>
          <w:rFonts w:hint="eastAsia"/>
        </w:rPr>
        <w:t>CAD</w:t>
      </w:r>
      <w:r>
        <w:rPr>
          <w:rFonts w:hint="eastAsia"/>
        </w:rPr>
        <w:t>）系统优化配料方案，确保余料最少。</w:t>
      </w:r>
    </w:p>
    <w:p w:rsidR="00960961" w:rsidRDefault="00CE6772">
      <w:pPr>
        <w:pStyle w:val="affd"/>
        <w:spacing w:before="120" w:after="120"/>
      </w:pPr>
      <w:r>
        <w:rPr>
          <w:rFonts w:hint="eastAsia"/>
        </w:rPr>
        <w:t>下料</w:t>
      </w:r>
    </w:p>
    <w:p w:rsidR="00960961" w:rsidRDefault="00CE6772">
      <w:pPr>
        <w:pStyle w:val="affffe"/>
        <w:ind w:firstLine="420"/>
      </w:pPr>
      <w:r>
        <w:rPr>
          <w:rFonts w:hint="eastAsia"/>
        </w:rPr>
        <w:t>优先采用数控切割设备（如数控火焰等离子切割机、空气等离子切割机、光纤激光切割机等）进行钢材下料，替代传统的手工切割方式。激光切割机、等离子切割机优先用于精度要求</w:t>
      </w:r>
      <w:r>
        <w:rPr>
          <w:rFonts w:hint="eastAsia"/>
        </w:rPr>
        <w:t>高、厚度较薄的钢材切割，数控火焰切割机适用于厚度较大的钢材切割，提高切割精度和材料利用率。</w:t>
      </w:r>
    </w:p>
    <w:p w:rsidR="00960961" w:rsidRDefault="00CE6772">
      <w:pPr>
        <w:pStyle w:val="affd"/>
        <w:spacing w:before="120" w:after="120"/>
      </w:pPr>
      <w:r>
        <w:rPr>
          <w:rFonts w:hint="eastAsia"/>
        </w:rPr>
        <w:t>打坡口</w:t>
      </w:r>
    </w:p>
    <w:p w:rsidR="00960961" w:rsidRDefault="00CE6772">
      <w:pPr>
        <w:pStyle w:val="affffe"/>
        <w:ind w:firstLine="420"/>
      </w:pPr>
      <w:r>
        <w:rPr>
          <w:rFonts w:hint="eastAsia"/>
        </w:rPr>
        <w:t>采用数控坡口机等自动化设备进行坡口加工，确保坡口尺寸、角度符合焊接要求，减少后续焊接缺陷，提高焊接质量和效率。</w:t>
      </w:r>
    </w:p>
    <w:p w:rsidR="00960961" w:rsidRDefault="00CE6772">
      <w:pPr>
        <w:pStyle w:val="affd"/>
        <w:spacing w:before="120" w:after="120"/>
      </w:pPr>
      <w:r>
        <w:rPr>
          <w:rFonts w:hint="eastAsia"/>
        </w:rPr>
        <w:t>折弯</w:t>
      </w:r>
    </w:p>
    <w:p w:rsidR="00960961" w:rsidRDefault="00CE6772">
      <w:pPr>
        <w:pStyle w:val="affffe"/>
        <w:ind w:firstLine="420"/>
      </w:pPr>
      <w:r>
        <w:rPr>
          <w:rFonts w:hint="eastAsia"/>
        </w:rPr>
        <w:t>使用数控折弯机对钢材进行折弯成型，根据铁塔构件的形状要求设置折弯参数，确保折弯精度，减少成型后校正的工作量和能源消耗。</w:t>
      </w:r>
    </w:p>
    <w:p w:rsidR="00960961" w:rsidRDefault="00CE6772">
      <w:pPr>
        <w:pStyle w:val="affd"/>
        <w:spacing w:before="120" w:after="120"/>
      </w:pPr>
      <w:r>
        <w:rPr>
          <w:rFonts w:hint="eastAsia"/>
        </w:rPr>
        <w:t>组对</w:t>
      </w:r>
    </w:p>
    <w:p w:rsidR="00960961" w:rsidRDefault="00CE6772">
      <w:pPr>
        <w:pStyle w:val="affffe"/>
        <w:ind w:firstLine="420"/>
      </w:pPr>
      <w:r>
        <w:rPr>
          <w:rFonts w:hint="eastAsia"/>
        </w:rPr>
        <w:t>采用专用组对工装和夹具，对各构件进行精准组对，保证组对间隙、错边量等符合焊接工艺要求，为后续焊接工序奠定良好基础。</w:t>
      </w:r>
    </w:p>
    <w:p w:rsidR="00960961" w:rsidRDefault="00CE6772">
      <w:pPr>
        <w:pStyle w:val="affd"/>
        <w:spacing w:before="120" w:after="120"/>
      </w:pPr>
      <w:r>
        <w:rPr>
          <w:rFonts w:hint="eastAsia"/>
        </w:rPr>
        <w:t>内埋弧、外埋弧</w:t>
      </w:r>
    </w:p>
    <w:p w:rsidR="00960961" w:rsidRDefault="00CE6772">
      <w:pPr>
        <w:pStyle w:val="affffe"/>
        <w:ind w:firstLine="420"/>
      </w:pPr>
      <w:r>
        <w:rPr>
          <w:rFonts w:hint="eastAsia"/>
        </w:rPr>
        <w:t>宜采用埋弧焊等高效、低耗、低污染的焊</w:t>
      </w:r>
      <w:r>
        <w:rPr>
          <w:rFonts w:hint="eastAsia"/>
        </w:rPr>
        <w:t>接工艺，选用环保型焊剂和焊丝。焊接设备配备有效的烟尘收集和净化装置（如焊接烟尘净化器、通风除尘系统等），烟尘收集率不低于</w:t>
      </w:r>
      <w:r>
        <w:rPr>
          <w:rFonts w:hint="eastAsia"/>
        </w:rPr>
        <w:t xml:space="preserve"> 90%</w:t>
      </w:r>
      <w:r>
        <w:rPr>
          <w:rFonts w:hint="eastAsia"/>
        </w:rPr>
        <w:t>，净化后的废气排放符合</w:t>
      </w:r>
      <w:r>
        <w:rPr>
          <w:rFonts w:hint="eastAsia"/>
        </w:rPr>
        <w:t xml:space="preserve"> GB 16297 </w:t>
      </w:r>
      <w:r>
        <w:rPr>
          <w:rFonts w:hint="eastAsia"/>
        </w:rPr>
        <w:t>标准要求。焊接操作人员佩戴符合国家标准的防尘口罩、防护眼镜等个人防护用品。</w:t>
      </w:r>
    </w:p>
    <w:p w:rsidR="00960961" w:rsidRDefault="00CE6772">
      <w:pPr>
        <w:pStyle w:val="affd"/>
        <w:spacing w:before="120" w:after="120"/>
      </w:pPr>
      <w:r>
        <w:rPr>
          <w:rFonts w:hint="eastAsia"/>
        </w:rPr>
        <w:t>焊接</w:t>
      </w:r>
    </w:p>
    <w:p w:rsidR="00960961" w:rsidRDefault="00CE6772">
      <w:pPr>
        <w:pStyle w:val="affffe"/>
        <w:ind w:firstLine="420"/>
      </w:pPr>
      <w:r>
        <w:rPr>
          <w:rFonts w:hint="eastAsia"/>
        </w:rPr>
        <w:lastRenderedPageBreak/>
        <w:t>控制焊接参数（如焊接电流、电压、焊接速度、焊丝伸出长度等），确保焊缝成型良好，避免出现未焊透、未熔合、气孔、夹渣等焊接缺陷，减少焊缝返修率。焊接完成后，对焊缝进行外观检查和无损检测（如射线检测、超声波检测等）。</w:t>
      </w:r>
    </w:p>
    <w:p w:rsidR="00960961" w:rsidRDefault="00CE6772">
      <w:pPr>
        <w:pStyle w:val="affd"/>
        <w:spacing w:before="120" w:after="120"/>
      </w:pPr>
      <w:r>
        <w:rPr>
          <w:rFonts w:hint="eastAsia"/>
        </w:rPr>
        <w:t>整形</w:t>
      </w:r>
    </w:p>
    <w:p w:rsidR="00960961" w:rsidRDefault="00CE6772">
      <w:pPr>
        <w:pStyle w:val="affffe"/>
        <w:ind w:firstLine="420"/>
      </w:pPr>
      <w:r>
        <w:rPr>
          <w:rFonts w:hint="eastAsia"/>
        </w:rPr>
        <w:t>对焊接后的构件进行整形处理，采用液压整形机</w:t>
      </w:r>
      <w:r>
        <w:rPr>
          <w:rFonts w:hint="eastAsia"/>
        </w:rPr>
        <w:t>等设备，根据构件的变形情况施加适当的压力，使构件恢复到设计尺寸和形状，确保铁塔构件的几何精度。</w:t>
      </w:r>
    </w:p>
    <w:p w:rsidR="00960961" w:rsidRDefault="00CE6772">
      <w:pPr>
        <w:pStyle w:val="affd"/>
        <w:spacing w:before="120" w:after="120"/>
      </w:pPr>
      <w:r>
        <w:rPr>
          <w:rFonts w:hint="eastAsia"/>
        </w:rPr>
        <w:t>定位</w:t>
      </w:r>
    </w:p>
    <w:p w:rsidR="00960961" w:rsidRDefault="00CE6772">
      <w:pPr>
        <w:pStyle w:val="affffe"/>
        <w:ind w:firstLine="420"/>
      </w:pPr>
      <w:r>
        <w:rPr>
          <w:rFonts w:hint="eastAsia"/>
        </w:rPr>
        <w:t>使用专用定位装置对整形后的构件进行定位，保证各构件之间的相对位置准确，为后续附件加工等工序提供准确的基准。</w:t>
      </w:r>
    </w:p>
    <w:p w:rsidR="00960961" w:rsidRDefault="00CE6772">
      <w:pPr>
        <w:pStyle w:val="affd"/>
        <w:spacing w:before="120" w:after="120"/>
      </w:pPr>
      <w:r>
        <w:rPr>
          <w:rFonts w:hint="eastAsia"/>
        </w:rPr>
        <w:t>附件加工</w:t>
      </w:r>
    </w:p>
    <w:p w:rsidR="00960961" w:rsidRDefault="00CE6772">
      <w:pPr>
        <w:pStyle w:val="affffe"/>
        <w:ind w:firstLine="420"/>
      </w:pPr>
      <w:r>
        <w:rPr>
          <w:rFonts w:hint="eastAsia"/>
        </w:rPr>
        <w:t>根据铁塔设计要求，对各种附件（如连接板、挂线板等）进行加工，采用数控加工设备（如钻铣床等），提高加工精度和效率，减少加工过程中的能源消耗和废弃物产生。</w:t>
      </w:r>
    </w:p>
    <w:p w:rsidR="00960961" w:rsidRDefault="00CE6772">
      <w:pPr>
        <w:pStyle w:val="affd"/>
        <w:spacing w:before="120" w:after="120"/>
      </w:pPr>
      <w:r>
        <w:rPr>
          <w:rFonts w:hint="eastAsia"/>
        </w:rPr>
        <w:t>打磨</w:t>
      </w:r>
    </w:p>
    <w:p w:rsidR="00960961" w:rsidRDefault="00CE6772">
      <w:pPr>
        <w:pStyle w:val="affffe"/>
        <w:ind w:firstLine="420"/>
      </w:pPr>
      <w:r>
        <w:rPr>
          <w:rFonts w:hint="eastAsia"/>
        </w:rPr>
        <w:t>对构件表面（如焊缝区域、毛刺等）进行打磨处理，采用机械打磨设备（如角磨机、砂带机等），替代手工打磨，提高打磨效率和质量，减少粉尘排放。打磨过程中，设置粉尘收集装置，收集率不低于</w:t>
      </w:r>
      <w:r>
        <w:rPr>
          <w:rFonts w:hint="eastAsia"/>
        </w:rPr>
        <w:t xml:space="preserve"> 90%</w:t>
      </w:r>
      <w:r>
        <w:rPr>
          <w:rFonts w:hint="eastAsia"/>
        </w:rPr>
        <w:t>。</w:t>
      </w:r>
    </w:p>
    <w:p w:rsidR="00960961" w:rsidRDefault="00CE6772">
      <w:pPr>
        <w:pStyle w:val="affd"/>
        <w:spacing w:before="120" w:after="120"/>
      </w:pPr>
      <w:r>
        <w:rPr>
          <w:rFonts w:hint="eastAsia"/>
        </w:rPr>
        <w:t>镀锌</w:t>
      </w:r>
    </w:p>
    <w:p w:rsidR="00960961" w:rsidRDefault="00CE6772">
      <w:pPr>
        <w:pStyle w:val="affffe"/>
        <w:ind w:firstLine="420"/>
      </w:pPr>
      <w:r>
        <w:rPr>
          <w:rFonts w:hint="eastAsia"/>
        </w:rPr>
        <w:t>热浸镀锌前处理工序（脱脂、酸洗、助镀等）采用自动化生产线，脱脂工序优先采用碱性脱脂剂，酸洗工序采用密闭式酸洗槽并配备酸雾吸收装置（酸雾收集率不低于</w:t>
      </w:r>
      <w:r>
        <w:rPr>
          <w:rFonts w:hint="eastAsia"/>
        </w:rPr>
        <w:t xml:space="preserve"> 95%</w:t>
      </w:r>
      <w:r>
        <w:rPr>
          <w:rFonts w:hint="eastAsia"/>
        </w:rPr>
        <w:t>，净化后尾气排放符合</w:t>
      </w:r>
      <w:r>
        <w:rPr>
          <w:rFonts w:hint="eastAsia"/>
        </w:rPr>
        <w:t xml:space="preserve"> GB 16297 </w:t>
      </w:r>
      <w:r>
        <w:rPr>
          <w:rFonts w:hint="eastAsia"/>
        </w:rPr>
        <w:t>的规定），酸洗废水经处理达标后回用或排放。热浸镀锌采用节能环保型镀锌炉（如中频感应加热镀锌炉），镀锌温度控制在</w:t>
      </w:r>
      <w:r>
        <w:rPr>
          <w:rFonts w:hint="eastAsia"/>
        </w:rPr>
        <w:t xml:space="preserve"> 440 </w:t>
      </w:r>
      <w:r>
        <w:rPr>
          <w:rFonts w:hint="eastAsia"/>
        </w:rPr>
        <w:t>℃</w:t>
      </w:r>
      <w:r>
        <w:rPr>
          <w:rFonts w:hAnsi="宋体" w:hint="eastAsia"/>
        </w:rPr>
        <w:t>～</w:t>
      </w:r>
      <w:r>
        <w:rPr>
          <w:rFonts w:hint="eastAsia"/>
        </w:rPr>
        <w:t xml:space="preserve">460 </w:t>
      </w:r>
      <w:r>
        <w:rPr>
          <w:rFonts w:hint="eastAsia"/>
        </w:rPr>
        <w:t>℃</w:t>
      </w:r>
      <w:r>
        <w:rPr>
          <w:rFonts w:hint="eastAsia"/>
        </w:rPr>
        <w:t xml:space="preserve"> </w:t>
      </w:r>
      <w:r>
        <w:rPr>
          <w:rFonts w:hint="eastAsia"/>
        </w:rPr>
        <w:t>范围内，浸锌时间根据钢材的材质、厚度合理确定。镀锌后采用自动化冷却系统（如循环水冷却），钝化处理选用环保型无铬钝化剂。镀锌后的铁塔构件进行外观检查、锌层厚度检测、附着力测试等，检验合格后方可进入喷涂工序。</w:t>
      </w:r>
    </w:p>
    <w:p w:rsidR="00960961" w:rsidRDefault="00CE6772">
      <w:pPr>
        <w:pStyle w:val="affd"/>
        <w:spacing w:before="120" w:after="120"/>
      </w:pPr>
      <w:r>
        <w:rPr>
          <w:rFonts w:hint="eastAsia"/>
        </w:rPr>
        <w:t>喷涂</w:t>
      </w:r>
    </w:p>
    <w:p w:rsidR="00960961" w:rsidRDefault="00CE6772">
      <w:pPr>
        <w:pStyle w:val="affffe"/>
        <w:ind w:firstLine="420"/>
      </w:pPr>
      <w:r>
        <w:rPr>
          <w:rFonts w:hint="eastAsia"/>
        </w:rPr>
        <w:t>选用水性涂料、高固体分涂料等环境友好型涂装材料，采用自动化喷涂设备（如静电喷涂机、高压无气喷涂机等），提高涂料利用率，减少</w:t>
      </w:r>
      <w:r>
        <w:rPr>
          <w:rFonts w:hint="eastAsia"/>
        </w:rPr>
        <w:t xml:space="preserve"> VOCs </w:t>
      </w:r>
      <w:r>
        <w:rPr>
          <w:rFonts w:hint="eastAsia"/>
        </w:rPr>
        <w:t>排放。喷涂过程中，设置废气收集和净化装置，净化后废气排放符合相关标准要求。</w:t>
      </w:r>
    </w:p>
    <w:p w:rsidR="00960961" w:rsidRDefault="00CE6772">
      <w:pPr>
        <w:pStyle w:val="affd"/>
        <w:spacing w:before="120" w:after="120"/>
      </w:pPr>
      <w:r>
        <w:rPr>
          <w:rFonts w:hint="eastAsia"/>
        </w:rPr>
        <w:t>过程检验</w:t>
      </w:r>
    </w:p>
    <w:p w:rsidR="00960961" w:rsidRDefault="00CE6772">
      <w:pPr>
        <w:pStyle w:val="affffe"/>
        <w:ind w:firstLine="420"/>
      </w:pPr>
      <w:r>
        <w:rPr>
          <w:rFonts w:hint="eastAsia"/>
        </w:rPr>
        <w:t>在生产流程的关键环节（如定位、附件加工等工序后）设置过程检验点，对构</w:t>
      </w:r>
      <w:r>
        <w:rPr>
          <w:rFonts w:hint="eastAsia"/>
        </w:rPr>
        <w:t>件的尺寸、形状、焊接质量等进行检验，及时发现并纠正生产过程中的问题，确保产品质量。</w:t>
      </w:r>
    </w:p>
    <w:p w:rsidR="00960961" w:rsidRDefault="00CE6772">
      <w:pPr>
        <w:pStyle w:val="affd"/>
        <w:spacing w:before="120" w:after="120"/>
      </w:pPr>
      <w:r>
        <w:rPr>
          <w:rFonts w:hint="eastAsia"/>
        </w:rPr>
        <w:t>终检</w:t>
      </w:r>
    </w:p>
    <w:p w:rsidR="00960961" w:rsidRDefault="00CE6772">
      <w:pPr>
        <w:pStyle w:val="affffe"/>
        <w:ind w:firstLine="420"/>
      </w:pPr>
      <w:r>
        <w:rPr>
          <w:rFonts w:hint="eastAsia"/>
        </w:rPr>
        <w:t>对完成所有工序的铁塔构件进行全面终检，包括外观质量、尺寸精度、镀锌层质量、喷涂质量等，检验合格后方可进行包装发货。</w:t>
      </w:r>
    </w:p>
    <w:p w:rsidR="00960961" w:rsidRDefault="00CE6772">
      <w:pPr>
        <w:pStyle w:val="affd"/>
        <w:spacing w:before="120" w:after="120"/>
      </w:pPr>
      <w:r>
        <w:rPr>
          <w:rFonts w:hint="eastAsia"/>
        </w:rPr>
        <w:t>包装发货</w:t>
      </w:r>
    </w:p>
    <w:p w:rsidR="00960961" w:rsidRDefault="00CE6772">
      <w:pPr>
        <w:pStyle w:val="affffe"/>
        <w:ind w:firstLine="420"/>
      </w:pPr>
      <w:r>
        <w:rPr>
          <w:rFonts w:hint="eastAsia"/>
        </w:rPr>
        <w:t>采用环保型包装材料（如可回收纸箱、塑料膜等）对铁塔构件进行包装，减少包装废弃物的产生。发货过程中，合理安排运输车辆，优化运输路线，降低运输过程中的能源消耗和污染物排放。</w:t>
      </w:r>
    </w:p>
    <w:p w:rsidR="00960961" w:rsidRDefault="00CE6772">
      <w:pPr>
        <w:pStyle w:val="affc"/>
        <w:spacing w:before="240" w:after="240"/>
      </w:pPr>
      <w:bookmarkStart w:id="127" w:name="_Toc207633924"/>
      <w:bookmarkStart w:id="128" w:name="_Toc207635021"/>
      <w:r>
        <w:rPr>
          <w:rFonts w:hint="eastAsia"/>
        </w:rPr>
        <w:t>能源消耗控制</w:t>
      </w:r>
      <w:bookmarkEnd w:id="127"/>
      <w:bookmarkEnd w:id="128"/>
    </w:p>
    <w:p w:rsidR="00960961" w:rsidRDefault="00CE6772">
      <w:pPr>
        <w:pStyle w:val="affd"/>
        <w:spacing w:before="120" w:after="120"/>
      </w:pPr>
      <w:r>
        <w:rPr>
          <w:rFonts w:hint="eastAsia"/>
        </w:rPr>
        <w:t>能源管理体系建立</w:t>
      </w:r>
    </w:p>
    <w:p w:rsidR="00960961" w:rsidRDefault="00CE6772">
      <w:pPr>
        <w:pStyle w:val="affffe"/>
        <w:ind w:firstLine="420"/>
      </w:pPr>
      <w:r>
        <w:rPr>
          <w:rFonts w:hint="eastAsia"/>
        </w:rPr>
        <w:lastRenderedPageBreak/>
        <w:t>企业宜按照</w:t>
      </w:r>
      <w:r>
        <w:rPr>
          <w:rFonts w:hint="eastAsia"/>
        </w:rPr>
        <w:t xml:space="preserve"> GB/T 23331 </w:t>
      </w:r>
      <w:r>
        <w:rPr>
          <w:rFonts w:hint="eastAsia"/>
        </w:rPr>
        <w:t>标准要求建立并有效运行能源管理体系，明确能源管理职责，制定能</w:t>
      </w:r>
      <w:r>
        <w:rPr>
          <w:rFonts w:hint="eastAsia"/>
        </w:rPr>
        <w:t>源管理目标和指标，定期对能源管理体系的运行情况进行内部审核和管理评审，持续改进能源管理水平。</w:t>
      </w:r>
    </w:p>
    <w:p w:rsidR="00960961" w:rsidRDefault="00CE6772">
      <w:pPr>
        <w:pStyle w:val="affd"/>
        <w:spacing w:before="120" w:after="120"/>
      </w:pPr>
      <w:r>
        <w:rPr>
          <w:rFonts w:hint="eastAsia"/>
        </w:rPr>
        <w:t>能源消耗定额管理</w:t>
      </w:r>
    </w:p>
    <w:p w:rsidR="00960961" w:rsidRDefault="00CE6772">
      <w:pPr>
        <w:pStyle w:val="affffffffa"/>
      </w:pPr>
      <w:r>
        <w:rPr>
          <w:rFonts w:hint="eastAsia"/>
        </w:rPr>
        <w:t>根据电力铁塔的生产规模、产品类型、生产工艺等因素，制定科学合理的能源消耗定额（如单位产品耗电量、耗煤量、耗油量等），并将能源消耗定额分解到各个生产车间、工序和设备，明确能源消耗责任。</w:t>
      </w:r>
    </w:p>
    <w:p w:rsidR="00960961" w:rsidRDefault="00CE6772">
      <w:pPr>
        <w:pStyle w:val="affffffffa"/>
      </w:pPr>
      <w:r>
        <w:rPr>
          <w:rFonts w:hint="eastAsia"/>
        </w:rPr>
        <w:t>建立能源消耗统计核算制度，配备必要的能源计量器具（如电能表、水表、蒸汽表、油耗表等），对能源消耗进行实时监测和统计。能源计量器具的配备应符合</w:t>
      </w:r>
      <w:r>
        <w:rPr>
          <w:rFonts w:hint="eastAsia"/>
        </w:rPr>
        <w:t xml:space="preserve"> GB 17167 </w:t>
      </w:r>
      <w:r>
        <w:rPr>
          <w:rFonts w:hint="eastAsia"/>
        </w:rPr>
        <w:t>的要求，定期进行检定或校准，确保计量数据准确可靠。</w:t>
      </w:r>
    </w:p>
    <w:p w:rsidR="00960961" w:rsidRDefault="00CE6772">
      <w:pPr>
        <w:pStyle w:val="affffffffa"/>
      </w:pPr>
      <w:r>
        <w:rPr>
          <w:rFonts w:hint="eastAsia"/>
        </w:rPr>
        <w:t>定期</w:t>
      </w:r>
      <w:r>
        <w:rPr>
          <w:rFonts w:hint="eastAsia"/>
        </w:rPr>
        <w:t>对能源消耗情况进行分析，对比实际消耗与定额消耗的差异，找出能源消耗过高的工序（如镀锌、焊接等能源消耗较大的工序），并采取针对性的改进措施（如设备改造、工艺优化、管理加强等），确保能源消耗控制在定额范围内。</w:t>
      </w:r>
    </w:p>
    <w:p w:rsidR="00960961" w:rsidRDefault="00CE6772">
      <w:pPr>
        <w:pStyle w:val="affd"/>
        <w:spacing w:before="120" w:after="120"/>
      </w:pPr>
      <w:r>
        <w:rPr>
          <w:rFonts w:hint="eastAsia"/>
        </w:rPr>
        <w:t>节能技术应用</w:t>
      </w:r>
    </w:p>
    <w:p w:rsidR="00960961" w:rsidRDefault="00CE6772">
      <w:pPr>
        <w:pStyle w:val="affffffffa"/>
      </w:pPr>
      <w:r>
        <w:rPr>
          <w:rFonts w:hint="eastAsia"/>
        </w:rPr>
        <w:t>宜应用节能型生产设备，如变频调速电机、节能型电焊机、高效加热炉等，替代高能耗、落后的生产设备。新购置的生产设备应符合国家能效标准，宜选用一级能效设备。</w:t>
      </w:r>
    </w:p>
    <w:p w:rsidR="00960961" w:rsidRDefault="00CE6772">
      <w:pPr>
        <w:pStyle w:val="affffffffa"/>
      </w:pPr>
      <w:r>
        <w:rPr>
          <w:rFonts w:hint="eastAsia"/>
        </w:rPr>
        <w:t>加强生产车间的照明节能管理，推广采用</w:t>
      </w:r>
      <w:r>
        <w:rPr>
          <w:rFonts w:hint="eastAsia"/>
        </w:rPr>
        <w:t xml:space="preserve"> LED </w:t>
      </w:r>
      <w:r>
        <w:rPr>
          <w:rFonts w:hint="eastAsia"/>
        </w:rPr>
        <w:t>等高效节能照明产品，替代传统的白炽灯、荧光灯等照明产品，同时合理设置照明开关，根据生产需求和自</w:t>
      </w:r>
      <w:r>
        <w:rPr>
          <w:rFonts w:hint="eastAsia"/>
        </w:rPr>
        <w:t>然光照情况及时调整照明亮度，减少照明能耗。</w:t>
      </w:r>
    </w:p>
    <w:p w:rsidR="00960961" w:rsidRDefault="00CE6772">
      <w:pPr>
        <w:pStyle w:val="affffffffa"/>
      </w:pPr>
      <w:r>
        <w:rPr>
          <w:rFonts w:hint="eastAsia"/>
        </w:rPr>
        <w:t>优化生产过程中的能源利用方式，如对镀锌炉等设备产生的余热进行回收利用，用于车间供暖、热水供应或其他生产工序，提高能源综合利用效率。余热回收利用率应不低于</w:t>
      </w:r>
      <w:r>
        <w:rPr>
          <w:rFonts w:hint="eastAsia"/>
        </w:rPr>
        <w:t xml:space="preserve"> 30%</w:t>
      </w:r>
      <w:r>
        <w:rPr>
          <w:rFonts w:hint="eastAsia"/>
        </w:rPr>
        <w:t>。</w:t>
      </w:r>
    </w:p>
    <w:p w:rsidR="00960961" w:rsidRDefault="00CE6772">
      <w:pPr>
        <w:pStyle w:val="affc"/>
        <w:spacing w:before="240" w:after="240"/>
      </w:pPr>
      <w:bookmarkStart w:id="129" w:name="_Toc207635022"/>
      <w:bookmarkStart w:id="130" w:name="_Toc207633925"/>
      <w:r>
        <w:rPr>
          <w:rFonts w:hint="eastAsia"/>
        </w:rPr>
        <w:t>标识、包装、运输和储存</w:t>
      </w:r>
      <w:bookmarkEnd w:id="129"/>
      <w:bookmarkEnd w:id="130"/>
    </w:p>
    <w:p w:rsidR="00960961" w:rsidRDefault="00CE6772">
      <w:pPr>
        <w:pStyle w:val="affd"/>
        <w:spacing w:before="120" w:after="120"/>
      </w:pPr>
      <w:r>
        <w:rPr>
          <w:rFonts w:hint="eastAsia"/>
        </w:rPr>
        <w:t>包装</w:t>
      </w:r>
    </w:p>
    <w:p w:rsidR="00960961" w:rsidRDefault="00CE6772">
      <w:pPr>
        <w:pStyle w:val="affffffffa"/>
      </w:pPr>
      <w:r>
        <w:rPr>
          <w:rFonts w:hint="eastAsia"/>
        </w:rPr>
        <w:t>包装应根据风电机组的结构尺寸、质量大小、运输方法（铁路、公路、水路）等特点进行，保证其安全、可靠地运达目的地。</w:t>
      </w:r>
    </w:p>
    <w:p w:rsidR="00960961" w:rsidRDefault="00CE6772">
      <w:pPr>
        <w:pStyle w:val="affffffffa"/>
      </w:pPr>
      <w:r>
        <w:rPr>
          <w:rFonts w:hint="eastAsia"/>
        </w:rPr>
        <w:t>电力铁塔经检验合格后，方可进行包装。</w:t>
      </w:r>
    </w:p>
    <w:p w:rsidR="00960961" w:rsidRDefault="00CE6772">
      <w:pPr>
        <w:pStyle w:val="affd"/>
        <w:spacing w:before="120" w:after="120"/>
      </w:pPr>
      <w:r>
        <w:rPr>
          <w:rFonts w:hint="eastAsia"/>
        </w:rPr>
        <w:t>标识</w:t>
      </w:r>
    </w:p>
    <w:p w:rsidR="00960961" w:rsidRDefault="00CE6772">
      <w:pPr>
        <w:pStyle w:val="affffffffa"/>
      </w:pPr>
      <w:r>
        <w:rPr>
          <w:rFonts w:hint="eastAsia"/>
        </w:rPr>
        <w:t>生产厂家可按</w:t>
      </w:r>
      <w:r>
        <w:rPr>
          <w:rFonts w:hint="eastAsia"/>
        </w:rPr>
        <w:t xml:space="preserve"> GB/T 13306 </w:t>
      </w:r>
      <w:r>
        <w:rPr>
          <w:rFonts w:hint="eastAsia"/>
        </w:rPr>
        <w:t>制作标牌，标牌内容应包括制造单位名称、产品名称、出厂编号、出厂日期。</w:t>
      </w:r>
    </w:p>
    <w:p w:rsidR="00960961" w:rsidRDefault="00CE6772">
      <w:pPr>
        <w:pStyle w:val="affffffffa"/>
      </w:pPr>
      <w:r>
        <w:rPr>
          <w:rFonts w:hint="eastAsia"/>
        </w:rPr>
        <w:t>同一台电力铁塔上、下段对接标识，塔体下法兰与基础环上法兰对接标志按有关图纸要求标注。</w:t>
      </w:r>
    </w:p>
    <w:p w:rsidR="00960961" w:rsidRDefault="00CE6772">
      <w:pPr>
        <w:pStyle w:val="affd"/>
        <w:spacing w:before="120" w:after="120"/>
      </w:pPr>
      <w:r>
        <w:rPr>
          <w:rFonts w:hint="eastAsia"/>
        </w:rPr>
        <w:t>运输</w:t>
      </w:r>
    </w:p>
    <w:p w:rsidR="00960961" w:rsidRDefault="00CE6772">
      <w:pPr>
        <w:pStyle w:val="affffffffa"/>
      </w:pPr>
      <w:r>
        <w:rPr>
          <w:rFonts w:hint="eastAsia"/>
        </w:rPr>
        <w:t>电力铁塔的搬运和吊装不得损伤防护层，吊装工具应采取可靠防护措施，避免与涂装层直接触。</w:t>
      </w:r>
    </w:p>
    <w:p w:rsidR="00960961" w:rsidRDefault="00CE6772">
      <w:pPr>
        <w:pStyle w:val="affffffffa"/>
      </w:pPr>
      <w:r>
        <w:rPr>
          <w:rFonts w:hint="eastAsia"/>
        </w:rPr>
        <w:t>电力铁塔在运输过程中应捆绑牢固，捆绑索具及垫木之间加放缓冲物，两端用防雨布封堵。</w:t>
      </w:r>
    </w:p>
    <w:p w:rsidR="00960961" w:rsidRDefault="00CE6772">
      <w:pPr>
        <w:pStyle w:val="affffffffa"/>
      </w:pPr>
      <w:r>
        <w:rPr>
          <w:rFonts w:hint="eastAsia"/>
        </w:rPr>
        <w:t>法兰应采取有效方式支撑固定。</w:t>
      </w:r>
    </w:p>
    <w:p w:rsidR="00960961" w:rsidRDefault="00CE6772">
      <w:pPr>
        <w:pStyle w:val="affd"/>
        <w:spacing w:before="120" w:after="120"/>
      </w:pPr>
      <w:r>
        <w:rPr>
          <w:rFonts w:hint="eastAsia"/>
        </w:rPr>
        <w:t>储存</w:t>
      </w:r>
    </w:p>
    <w:p w:rsidR="00960961" w:rsidRDefault="00CE6772">
      <w:pPr>
        <w:pStyle w:val="affffffffa"/>
      </w:pPr>
      <w:r>
        <w:rPr>
          <w:rFonts w:hint="eastAsia"/>
        </w:rPr>
        <w:t>电力铁塔露天储存时，底部应放置支架，与外壳连接处应放置缓冲物。</w:t>
      </w:r>
    </w:p>
    <w:p w:rsidR="00960961" w:rsidRDefault="00CE6772">
      <w:pPr>
        <w:pStyle w:val="affffffffa"/>
      </w:pPr>
      <w:r>
        <w:rPr>
          <w:rFonts w:hint="eastAsia"/>
        </w:rPr>
        <w:t>存放地点应能避免积水浸泡电力铁塔，电力铁塔两端用防雨布封堵。</w:t>
      </w:r>
    </w:p>
    <w:p w:rsidR="00960961" w:rsidRDefault="00CE6772">
      <w:pPr>
        <w:pStyle w:val="affc"/>
        <w:spacing w:before="240" w:after="240"/>
      </w:pPr>
      <w:bookmarkStart w:id="131" w:name="_Toc207633926"/>
      <w:bookmarkStart w:id="132" w:name="_Toc207635023"/>
      <w:r>
        <w:rPr>
          <w:rFonts w:hint="eastAsia"/>
        </w:rPr>
        <w:t>污染物排放管理要求</w:t>
      </w:r>
      <w:bookmarkEnd w:id="131"/>
      <w:bookmarkEnd w:id="132"/>
    </w:p>
    <w:p w:rsidR="00960961" w:rsidRDefault="00CE6772">
      <w:pPr>
        <w:pStyle w:val="affd"/>
        <w:spacing w:before="120" w:after="120"/>
      </w:pPr>
      <w:r>
        <w:rPr>
          <w:rFonts w:hint="eastAsia"/>
        </w:rPr>
        <w:t>大气污染物排放控制</w:t>
      </w:r>
    </w:p>
    <w:p w:rsidR="00960961" w:rsidRDefault="00CE6772">
      <w:pPr>
        <w:pStyle w:val="affffffffa"/>
      </w:pPr>
      <w:r>
        <w:rPr>
          <w:rFonts w:hint="eastAsia"/>
        </w:rPr>
        <w:t>生产工序产生的大气污染物应采取有效的收集和处理措施</w:t>
      </w:r>
      <w:r>
        <w:rPr>
          <w:rFonts w:hint="eastAsia"/>
        </w:rPr>
        <w:t>。各生产工序应设置集气罩、通风除尘系统、废气净化装置等，确保大气污染物收集率和净化率达到相关标准要求。</w:t>
      </w:r>
    </w:p>
    <w:p w:rsidR="00960961" w:rsidRDefault="00CE6772">
      <w:pPr>
        <w:pStyle w:val="affffffffa"/>
      </w:pPr>
      <w:r>
        <w:rPr>
          <w:rFonts w:hint="eastAsia"/>
        </w:rPr>
        <w:lastRenderedPageBreak/>
        <w:t>大气污染物排放应符合</w:t>
      </w:r>
      <w:r>
        <w:rPr>
          <w:rFonts w:hint="eastAsia"/>
        </w:rPr>
        <w:t xml:space="preserve"> GB 16297 </w:t>
      </w:r>
      <w:r>
        <w:rPr>
          <w:rFonts w:hint="eastAsia"/>
        </w:rPr>
        <w:t>的要求，其中颗粒物排放浓度应不高于</w:t>
      </w:r>
      <w:r>
        <w:rPr>
          <w:rFonts w:hint="eastAsia"/>
        </w:rPr>
        <w:t xml:space="preserve"> 10 mg/m</w:t>
      </w:r>
      <w:r>
        <w:rPr>
          <w:rFonts w:hint="eastAsia"/>
          <w:vertAlign w:val="superscript"/>
        </w:rPr>
        <w:t>3</w:t>
      </w:r>
      <w:r>
        <w:rPr>
          <w:rFonts w:hint="eastAsia"/>
        </w:rPr>
        <w:t>，二氧化硫排放浓度应不高于</w:t>
      </w:r>
      <w:r>
        <w:rPr>
          <w:rFonts w:hint="eastAsia"/>
        </w:rPr>
        <w:t xml:space="preserve"> 50 mg/m</w:t>
      </w:r>
      <w:r>
        <w:rPr>
          <w:rFonts w:hint="eastAsia"/>
          <w:vertAlign w:val="superscript"/>
        </w:rPr>
        <w:t>3</w:t>
      </w:r>
      <w:r>
        <w:rPr>
          <w:rFonts w:hint="eastAsia"/>
        </w:rPr>
        <w:t>，氮氧化物排放浓度应不高于</w:t>
      </w:r>
      <w:r>
        <w:rPr>
          <w:rFonts w:hint="eastAsia"/>
        </w:rPr>
        <w:t xml:space="preserve"> 100 mg/m</w:t>
      </w:r>
      <w:r>
        <w:rPr>
          <w:rFonts w:hint="eastAsia"/>
          <w:vertAlign w:val="superscript"/>
        </w:rPr>
        <w:t>3</w:t>
      </w:r>
      <w:r>
        <w:rPr>
          <w:rFonts w:hint="eastAsia"/>
        </w:rPr>
        <w:t>，</w:t>
      </w:r>
      <w:r>
        <w:rPr>
          <w:rFonts w:hint="eastAsia"/>
        </w:rPr>
        <w:t xml:space="preserve">VOCs </w:t>
      </w:r>
      <w:r>
        <w:rPr>
          <w:rFonts w:hint="eastAsia"/>
        </w:rPr>
        <w:t>排放浓度应不高于</w:t>
      </w:r>
      <w:r>
        <w:rPr>
          <w:rFonts w:hint="eastAsia"/>
        </w:rPr>
        <w:t xml:space="preserve"> 60 mg/m</w:t>
      </w:r>
      <w:r>
        <w:rPr>
          <w:rFonts w:hint="eastAsia"/>
          <w:vertAlign w:val="superscript"/>
        </w:rPr>
        <w:t>3</w:t>
      </w:r>
      <w:r>
        <w:rPr>
          <w:rFonts w:hint="eastAsia"/>
        </w:rPr>
        <w:t>（基准排气量下）。企业应定期委托具备资质的检测机构对大气污染物排放情况进行监测，监测频次宜不少于每季度一次，并保存监测报告。</w:t>
      </w:r>
    </w:p>
    <w:p w:rsidR="00960961" w:rsidRDefault="00CE6772">
      <w:pPr>
        <w:pStyle w:val="affd"/>
        <w:spacing w:before="120" w:after="120"/>
      </w:pPr>
      <w:r>
        <w:rPr>
          <w:rFonts w:hint="eastAsia"/>
        </w:rPr>
        <w:t>水污染物排放控制</w:t>
      </w:r>
    </w:p>
    <w:p w:rsidR="00960961" w:rsidRDefault="00CE6772">
      <w:pPr>
        <w:pStyle w:val="affffffffa"/>
      </w:pPr>
      <w:r>
        <w:rPr>
          <w:rFonts w:hint="eastAsia"/>
        </w:rPr>
        <w:t>生产过程中产生的废水应进行分类收集和处理，不得直接排放。酸洗废水、镀锌废水等工业废水应采用物理化学处理工艺进行处理，生活污水应采用生化处理工艺进行处理，确保废水处理后达标排放或回用。</w:t>
      </w:r>
    </w:p>
    <w:p w:rsidR="00960961" w:rsidRDefault="00CE6772">
      <w:pPr>
        <w:pStyle w:val="affffffffa"/>
      </w:pPr>
      <w:r>
        <w:rPr>
          <w:rFonts w:hint="eastAsia"/>
        </w:rPr>
        <w:t>废水排放应符合</w:t>
      </w:r>
      <w:r>
        <w:rPr>
          <w:rFonts w:hint="eastAsia"/>
        </w:rPr>
        <w:t xml:space="preserve"> GB 8978 </w:t>
      </w:r>
      <w:r>
        <w:rPr>
          <w:rFonts w:hint="eastAsia"/>
        </w:rPr>
        <w:t>的要求，其中</w:t>
      </w:r>
      <w:r>
        <w:rPr>
          <w:rFonts w:hint="eastAsia"/>
        </w:rPr>
        <w:t xml:space="preserve"> pH </w:t>
      </w:r>
      <w:r>
        <w:rPr>
          <w:rFonts w:hint="eastAsia"/>
        </w:rPr>
        <w:t>值应控制在</w:t>
      </w:r>
      <w:r>
        <w:rPr>
          <w:rFonts w:hint="eastAsia"/>
        </w:rPr>
        <w:t xml:space="preserve"> 6</w:t>
      </w:r>
      <w:r>
        <w:rPr>
          <w:rFonts w:hAnsi="宋体" w:hint="eastAsia"/>
        </w:rPr>
        <w:t>～</w:t>
      </w:r>
      <w:r>
        <w:rPr>
          <w:rFonts w:hint="eastAsia"/>
        </w:rPr>
        <w:t xml:space="preserve">9 </w:t>
      </w:r>
      <w:r>
        <w:rPr>
          <w:rFonts w:hint="eastAsia"/>
        </w:rPr>
        <w:t>范围内，化学需氧量（</w:t>
      </w:r>
      <w:r>
        <w:rPr>
          <w:rFonts w:hint="eastAsia"/>
        </w:rPr>
        <w:t>COD</w:t>
      </w:r>
      <w:r>
        <w:rPr>
          <w:rFonts w:hint="eastAsia"/>
        </w:rPr>
        <w:t>）排放浓度应不高于</w:t>
      </w:r>
      <w:r>
        <w:rPr>
          <w:rFonts w:hint="eastAsia"/>
        </w:rPr>
        <w:t xml:space="preserve"> 50 mg/L</w:t>
      </w:r>
      <w:r>
        <w:rPr>
          <w:rFonts w:hint="eastAsia"/>
        </w:rPr>
        <w:t>，悬浮物（</w:t>
      </w:r>
      <w:r>
        <w:rPr>
          <w:rFonts w:hint="eastAsia"/>
        </w:rPr>
        <w:t>SS</w:t>
      </w:r>
      <w:r>
        <w:rPr>
          <w:rFonts w:hint="eastAsia"/>
        </w:rPr>
        <w:t>）排放浓度应不高于</w:t>
      </w:r>
      <w:r>
        <w:rPr>
          <w:rFonts w:hint="eastAsia"/>
        </w:rPr>
        <w:t xml:space="preserve"> 10 mg/L</w:t>
      </w:r>
      <w:r>
        <w:rPr>
          <w:rFonts w:hint="eastAsia"/>
        </w:rPr>
        <w:t>，总锌排放浓度应不高于</w:t>
      </w:r>
      <w:r>
        <w:rPr>
          <w:rFonts w:hint="eastAsia"/>
        </w:rPr>
        <w:t xml:space="preserve"> 1.0 mg/L</w:t>
      </w:r>
      <w:r>
        <w:rPr>
          <w:rFonts w:hint="eastAsia"/>
        </w:rPr>
        <w:t>，总铬（六价）排放浓度应不高于</w:t>
      </w:r>
      <w:r>
        <w:rPr>
          <w:rFonts w:hint="eastAsia"/>
        </w:rPr>
        <w:t xml:space="preserve"> 0.5 mg/L</w:t>
      </w:r>
      <w:r>
        <w:rPr>
          <w:rFonts w:hint="eastAsia"/>
        </w:rPr>
        <w:t>。企业应在废水排放口设置在线监测设备，对废水主要污染物指标进</w:t>
      </w:r>
      <w:r>
        <w:rPr>
          <w:rFonts w:hint="eastAsia"/>
        </w:rPr>
        <w:t>行实时监测，并与当地环保部门的监控系统联网。</w:t>
      </w:r>
    </w:p>
    <w:p w:rsidR="00960961" w:rsidRDefault="00CE6772">
      <w:pPr>
        <w:pStyle w:val="affd"/>
        <w:spacing w:before="120" w:after="120"/>
      </w:pPr>
      <w:r>
        <w:rPr>
          <w:rFonts w:hint="eastAsia"/>
        </w:rPr>
        <w:t>噪声污染控制</w:t>
      </w:r>
    </w:p>
    <w:p w:rsidR="00960961" w:rsidRDefault="00CE6772">
      <w:pPr>
        <w:pStyle w:val="affffffffa"/>
      </w:pPr>
      <w:r>
        <w:rPr>
          <w:rFonts w:hint="eastAsia"/>
        </w:rPr>
        <w:t>生产过程中产生的噪声应采取有效的控制措施，如选用低噪声生产设备、对设备进行减振降噪处理、合理规划生产车间布局等，减少噪声对周边环境和人员的影响。</w:t>
      </w:r>
    </w:p>
    <w:p w:rsidR="00960961" w:rsidRDefault="00CE6772">
      <w:pPr>
        <w:pStyle w:val="affffffffa"/>
      </w:pPr>
      <w:r>
        <w:rPr>
          <w:rFonts w:hint="eastAsia"/>
        </w:rPr>
        <w:t>厂界噪声排放应符合</w:t>
      </w:r>
      <w:r>
        <w:rPr>
          <w:rFonts w:hint="eastAsia"/>
        </w:rPr>
        <w:t xml:space="preserve"> GB 12348 </w:t>
      </w:r>
      <w:r>
        <w:rPr>
          <w:rFonts w:hint="eastAsia"/>
        </w:rPr>
        <w:t>的要求，其中昼间噪声排放限值应不高于</w:t>
      </w:r>
      <w:r>
        <w:rPr>
          <w:rFonts w:hint="eastAsia"/>
        </w:rPr>
        <w:t xml:space="preserve"> 65 dB</w:t>
      </w:r>
      <w:r>
        <w:rPr>
          <w:rFonts w:hint="eastAsia"/>
        </w:rPr>
        <w:t>（</w:t>
      </w:r>
      <w:r>
        <w:rPr>
          <w:rFonts w:hint="eastAsia"/>
        </w:rPr>
        <w:t>A</w:t>
      </w:r>
      <w:r>
        <w:rPr>
          <w:rFonts w:hint="eastAsia"/>
        </w:rPr>
        <w:t>），夜间噪声排放限值应不高于</w:t>
      </w:r>
      <w:r>
        <w:rPr>
          <w:rFonts w:hint="eastAsia"/>
        </w:rPr>
        <w:t xml:space="preserve"> 55 dB</w:t>
      </w:r>
      <w:r>
        <w:rPr>
          <w:rFonts w:hint="eastAsia"/>
        </w:rPr>
        <w:t>（</w:t>
      </w:r>
      <w:r>
        <w:rPr>
          <w:rFonts w:hint="eastAsia"/>
        </w:rPr>
        <w:t>A</w:t>
      </w:r>
      <w:r>
        <w:rPr>
          <w:rFonts w:hint="eastAsia"/>
        </w:rPr>
        <w:t>）。企业应定期对厂界噪声进行监测，监测频次应不少于每半年一次，并保存监测报告。</w:t>
      </w:r>
    </w:p>
    <w:p w:rsidR="00960961" w:rsidRDefault="00960961">
      <w:pPr>
        <w:pStyle w:val="affffe"/>
        <w:ind w:firstLine="420"/>
      </w:pPr>
    </w:p>
    <w:p w:rsidR="00960961" w:rsidRDefault="00960961">
      <w:pPr>
        <w:pStyle w:val="affffe"/>
        <w:ind w:firstLine="420"/>
      </w:pPr>
    </w:p>
    <w:p w:rsidR="00960961" w:rsidRDefault="00960961">
      <w:pPr>
        <w:pStyle w:val="affffe"/>
        <w:ind w:firstLine="420"/>
      </w:pPr>
    </w:p>
    <w:p w:rsidR="00960961" w:rsidRDefault="00CE6772">
      <w:pPr>
        <w:pStyle w:val="affffe"/>
        <w:ind w:firstLineChars="0" w:firstLine="0"/>
        <w:jc w:val="center"/>
      </w:pPr>
      <w:bookmarkStart w:id="133" w:name="BookMark8"/>
      <w:bookmarkEnd w:id="42"/>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9"/>
                    <a:stretch>
                      <a:fillRect/>
                    </a:stretch>
                  </pic:blipFill>
                  <pic:spPr>
                    <a:xfrm>
                      <a:off x="0" y="0"/>
                      <a:ext cx="1485900" cy="317500"/>
                    </a:xfrm>
                    <a:prstGeom prst="rect">
                      <a:avLst/>
                    </a:prstGeom>
                  </pic:spPr>
                </pic:pic>
              </a:graphicData>
            </a:graphic>
          </wp:inline>
        </w:drawing>
      </w:r>
      <w:bookmarkEnd w:id="133"/>
    </w:p>
    <w:sectPr w:rsidR="0096096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772" w:rsidRDefault="00CE6772">
      <w:pPr>
        <w:spacing w:line="240" w:lineRule="auto"/>
      </w:pPr>
      <w:r>
        <w:separator/>
      </w:r>
    </w:p>
  </w:endnote>
  <w:endnote w:type="continuationSeparator" w:id="0">
    <w:p w:rsidR="00CE6772" w:rsidRDefault="00CE6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CE677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960961">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960961">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CE6772">
    <w:pPr>
      <w:pStyle w:val="affffb"/>
    </w:pPr>
    <w:r>
      <w:fldChar w:fldCharType="begin"/>
    </w:r>
    <w:r>
      <w:instrText>PAGE   \* MERGEFORMAT</w:instrText>
    </w:r>
    <w:r>
      <w:fldChar w:fldCharType="separate"/>
    </w:r>
    <w:r w:rsidR="00C13BF4" w:rsidRPr="00C13BF4">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772" w:rsidRDefault="00CE6772">
      <w:pPr>
        <w:spacing w:line="240" w:lineRule="auto"/>
      </w:pPr>
      <w:r>
        <w:separator/>
      </w:r>
    </w:p>
  </w:footnote>
  <w:footnote w:type="continuationSeparator" w:id="0">
    <w:p w:rsidR="00CE6772" w:rsidRDefault="00CE67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960961">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CE677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960961">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CE6772">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13BF4">
      <w:rPr>
        <w:noProof/>
      </w:rPr>
      <w:t>T/CS 265—2025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1" w:rsidRDefault="00CE677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13BF4">
      <w:rPr>
        <w:noProof/>
      </w:rPr>
      <w:t>T/CS 265</w:t>
    </w:r>
    <w:r w:rsidR="00C13BF4">
      <w:rPr>
        <w:noProof/>
      </w:rPr>
      <w:t>—</w:t>
    </w:r>
    <w:r w:rsidR="00C13BF4">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Ansi="黑体" w:hint="eastAsia"/>
        <w:b w:val="0"/>
        <w:i w:val="0"/>
        <w:sz w:val="21"/>
        <w:vertAlign w:val="baseline"/>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documentProtection w:edit="forms" w:enforcement="1" w:cryptProviderType="rsaFull" w:cryptAlgorithmClass="hash" w:cryptAlgorithmType="typeAny" w:cryptAlgorithmSid="4" w:cryptSpinCount="100000" w:hash="Nc22ySWKoeLTGTq0aNNX8aR4swA=" w:salt="6PUwsUTBuqx4vnuVdzfU7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6B98"/>
    <w:rsid w:val="000174BB"/>
    <w:rsid w:val="00022184"/>
    <w:rsid w:val="00022762"/>
    <w:rsid w:val="000236C1"/>
    <w:rsid w:val="000238E0"/>
    <w:rsid w:val="000249DB"/>
    <w:rsid w:val="00024A40"/>
    <w:rsid w:val="0002595E"/>
    <w:rsid w:val="00026420"/>
    <w:rsid w:val="000303C3"/>
    <w:rsid w:val="0003180F"/>
    <w:rsid w:val="00031B4B"/>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2FDE"/>
    <w:rsid w:val="00083D2C"/>
    <w:rsid w:val="000841C2"/>
    <w:rsid w:val="00085E90"/>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606"/>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047"/>
    <w:rsid w:val="000E4C9E"/>
    <w:rsid w:val="000E6FD7"/>
    <w:rsid w:val="000E7144"/>
    <w:rsid w:val="000E78E6"/>
    <w:rsid w:val="000F06E1"/>
    <w:rsid w:val="000F0E3C"/>
    <w:rsid w:val="000F19D5"/>
    <w:rsid w:val="000F2826"/>
    <w:rsid w:val="000F4050"/>
    <w:rsid w:val="000F4AEA"/>
    <w:rsid w:val="000F67E9"/>
    <w:rsid w:val="00104926"/>
    <w:rsid w:val="00113B1E"/>
    <w:rsid w:val="0011711C"/>
    <w:rsid w:val="00120F25"/>
    <w:rsid w:val="00124E4F"/>
    <w:rsid w:val="00125358"/>
    <w:rsid w:val="001260B7"/>
    <w:rsid w:val="001265CB"/>
    <w:rsid w:val="001321C6"/>
    <w:rsid w:val="001325C4"/>
    <w:rsid w:val="001327D7"/>
    <w:rsid w:val="00132D0E"/>
    <w:rsid w:val="00133010"/>
    <w:rsid w:val="001338EE"/>
    <w:rsid w:val="00133AAE"/>
    <w:rsid w:val="00134E13"/>
    <w:rsid w:val="00135323"/>
    <w:rsid w:val="001356C4"/>
    <w:rsid w:val="00137565"/>
    <w:rsid w:val="00140C8B"/>
    <w:rsid w:val="00141114"/>
    <w:rsid w:val="0014193E"/>
    <w:rsid w:val="00142969"/>
    <w:rsid w:val="00143CBA"/>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5913"/>
    <w:rsid w:val="00176DFD"/>
    <w:rsid w:val="001852C9"/>
    <w:rsid w:val="00187A0B"/>
    <w:rsid w:val="00190087"/>
    <w:rsid w:val="001913C4"/>
    <w:rsid w:val="0019348F"/>
    <w:rsid w:val="00193A07"/>
    <w:rsid w:val="00194C95"/>
    <w:rsid w:val="00195C34"/>
    <w:rsid w:val="00196027"/>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766"/>
    <w:rsid w:val="0020107D"/>
    <w:rsid w:val="00202AA4"/>
    <w:rsid w:val="002031F7"/>
    <w:rsid w:val="002040E6"/>
    <w:rsid w:val="00204406"/>
    <w:rsid w:val="0020527B"/>
    <w:rsid w:val="00205F2C"/>
    <w:rsid w:val="00210A44"/>
    <w:rsid w:val="00210B15"/>
    <w:rsid w:val="002142EA"/>
    <w:rsid w:val="00215ADD"/>
    <w:rsid w:val="00216E84"/>
    <w:rsid w:val="002204BB"/>
    <w:rsid w:val="002217B4"/>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56FE8"/>
    <w:rsid w:val="0026148A"/>
    <w:rsid w:val="00262696"/>
    <w:rsid w:val="00263D25"/>
    <w:rsid w:val="002643C3"/>
    <w:rsid w:val="00264A0C"/>
    <w:rsid w:val="002664C5"/>
    <w:rsid w:val="00266EEB"/>
    <w:rsid w:val="00267EF4"/>
    <w:rsid w:val="00270CB8"/>
    <w:rsid w:val="0027169F"/>
    <w:rsid w:val="00272B08"/>
    <w:rsid w:val="00273F12"/>
    <w:rsid w:val="00276CDF"/>
    <w:rsid w:val="00281BB8"/>
    <w:rsid w:val="00281E9E"/>
    <w:rsid w:val="00282405"/>
    <w:rsid w:val="00282B5E"/>
    <w:rsid w:val="00285170"/>
    <w:rsid w:val="00285361"/>
    <w:rsid w:val="00287D23"/>
    <w:rsid w:val="00292788"/>
    <w:rsid w:val="00292D60"/>
    <w:rsid w:val="00293B30"/>
    <w:rsid w:val="002942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55F6"/>
    <w:rsid w:val="002D6EC6"/>
    <w:rsid w:val="002D79AC"/>
    <w:rsid w:val="002E039D"/>
    <w:rsid w:val="002E4D5A"/>
    <w:rsid w:val="002E6326"/>
    <w:rsid w:val="002E6B80"/>
    <w:rsid w:val="002E74F2"/>
    <w:rsid w:val="002F30E0"/>
    <w:rsid w:val="002F35E4"/>
    <w:rsid w:val="002F3730"/>
    <w:rsid w:val="002F38E1"/>
    <w:rsid w:val="002F7AF6"/>
    <w:rsid w:val="00300422"/>
    <w:rsid w:val="00300E63"/>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309D4"/>
    <w:rsid w:val="003331E4"/>
    <w:rsid w:val="003343EE"/>
    <w:rsid w:val="00336C64"/>
    <w:rsid w:val="00337162"/>
    <w:rsid w:val="0034031D"/>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083A"/>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4376"/>
    <w:rsid w:val="003943FF"/>
    <w:rsid w:val="003974EB"/>
    <w:rsid w:val="003975F8"/>
    <w:rsid w:val="00397CC5"/>
    <w:rsid w:val="003A11D1"/>
    <w:rsid w:val="003A1582"/>
    <w:rsid w:val="003A1622"/>
    <w:rsid w:val="003A3D9C"/>
    <w:rsid w:val="003A4077"/>
    <w:rsid w:val="003A4AA7"/>
    <w:rsid w:val="003A5513"/>
    <w:rsid w:val="003B09AD"/>
    <w:rsid w:val="003B0D56"/>
    <w:rsid w:val="003B1065"/>
    <w:rsid w:val="003B1F18"/>
    <w:rsid w:val="003B1F6D"/>
    <w:rsid w:val="003B5BF0"/>
    <w:rsid w:val="003B60BF"/>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070"/>
    <w:rsid w:val="003F0841"/>
    <w:rsid w:val="003F23D3"/>
    <w:rsid w:val="003F3F08"/>
    <w:rsid w:val="003F49F1"/>
    <w:rsid w:val="003F6272"/>
    <w:rsid w:val="00400AC9"/>
    <w:rsid w:val="00400E72"/>
    <w:rsid w:val="00401400"/>
    <w:rsid w:val="00404869"/>
    <w:rsid w:val="00405884"/>
    <w:rsid w:val="00407D39"/>
    <w:rsid w:val="00411295"/>
    <w:rsid w:val="00414104"/>
    <w:rsid w:val="0041424D"/>
    <w:rsid w:val="0041477A"/>
    <w:rsid w:val="004167A3"/>
    <w:rsid w:val="0041774D"/>
    <w:rsid w:val="00421C69"/>
    <w:rsid w:val="004303EC"/>
    <w:rsid w:val="00432DAA"/>
    <w:rsid w:val="00434305"/>
    <w:rsid w:val="00435BB6"/>
    <w:rsid w:val="00435DF7"/>
    <w:rsid w:val="0043741A"/>
    <w:rsid w:val="00437F34"/>
    <w:rsid w:val="0044083F"/>
    <w:rsid w:val="004419F5"/>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DE8"/>
    <w:rsid w:val="00481C44"/>
    <w:rsid w:val="0048212D"/>
    <w:rsid w:val="004832DA"/>
    <w:rsid w:val="00484936"/>
    <w:rsid w:val="00485C89"/>
    <w:rsid w:val="00486BE3"/>
    <w:rsid w:val="00486E67"/>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1FD7"/>
    <w:rsid w:val="004C25A2"/>
    <w:rsid w:val="004C3F1D"/>
    <w:rsid w:val="004C458D"/>
    <w:rsid w:val="004C7556"/>
    <w:rsid w:val="004C7E8B"/>
    <w:rsid w:val="004C7E9D"/>
    <w:rsid w:val="004C7F67"/>
    <w:rsid w:val="004D076D"/>
    <w:rsid w:val="004D0EF1"/>
    <w:rsid w:val="004D2016"/>
    <w:rsid w:val="004D2253"/>
    <w:rsid w:val="004D4406"/>
    <w:rsid w:val="004D5F87"/>
    <w:rsid w:val="004D7C42"/>
    <w:rsid w:val="004E0465"/>
    <w:rsid w:val="004E127B"/>
    <w:rsid w:val="004E1C0A"/>
    <w:rsid w:val="004E30C5"/>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224"/>
    <w:rsid w:val="005073F0"/>
    <w:rsid w:val="00510A7B"/>
    <w:rsid w:val="0051119E"/>
    <w:rsid w:val="005116AC"/>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4D69"/>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04F"/>
    <w:rsid w:val="00567632"/>
    <w:rsid w:val="00573D9E"/>
    <w:rsid w:val="00576794"/>
    <w:rsid w:val="00576EF1"/>
    <w:rsid w:val="005801E3"/>
    <w:rsid w:val="00581802"/>
    <w:rsid w:val="00583217"/>
    <w:rsid w:val="005836A8"/>
    <w:rsid w:val="0058409C"/>
    <w:rsid w:val="00584262"/>
    <w:rsid w:val="00586025"/>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BAD"/>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0680"/>
    <w:rsid w:val="00612952"/>
    <w:rsid w:val="0061313A"/>
    <w:rsid w:val="00614CC1"/>
    <w:rsid w:val="00615A9D"/>
    <w:rsid w:val="00617387"/>
    <w:rsid w:val="006205D6"/>
    <w:rsid w:val="006214F0"/>
    <w:rsid w:val="006252D8"/>
    <w:rsid w:val="006259BC"/>
    <w:rsid w:val="0062636B"/>
    <w:rsid w:val="00627334"/>
    <w:rsid w:val="00632182"/>
    <w:rsid w:val="00632AE0"/>
    <w:rsid w:val="00633C17"/>
    <w:rsid w:val="00634D9E"/>
    <w:rsid w:val="00636C68"/>
    <w:rsid w:val="00636E3E"/>
    <w:rsid w:val="006379F7"/>
    <w:rsid w:val="00637E4D"/>
    <w:rsid w:val="00640620"/>
    <w:rsid w:val="00641A1F"/>
    <w:rsid w:val="00644EE1"/>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0FD3"/>
    <w:rsid w:val="006640E5"/>
    <w:rsid w:val="006646F1"/>
    <w:rsid w:val="00664929"/>
    <w:rsid w:val="00664F62"/>
    <w:rsid w:val="006655E1"/>
    <w:rsid w:val="0066626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2B99"/>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6CB"/>
    <w:rsid w:val="00727FA2"/>
    <w:rsid w:val="00731345"/>
    <w:rsid w:val="007322D9"/>
    <w:rsid w:val="00732BC0"/>
    <w:rsid w:val="007346C8"/>
    <w:rsid w:val="0073720F"/>
    <w:rsid w:val="00737796"/>
    <w:rsid w:val="0074165C"/>
    <w:rsid w:val="00742C35"/>
    <w:rsid w:val="007432CA"/>
    <w:rsid w:val="007439EB"/>
    <w:rsid w:val="00743CB4"/>
    <w:rsid w:val="00743F0A"/>
    <w:rsid w:val="007444E8"/>
    <w:rsid w:val="0074548E"/>
    <w:rsid w:val="00745773"/>
    <w:rsid w:val="00746392"/>
    <w:rsid w:val="00746800"/>
    <w:rsid w:val="00750082"/>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2E1C"/>
    <w:rsid w:val="00783ECF"/>
    <w:rsid w:val="0078413A"/>
    <w:rsid w:val="00793DC2"/>
    <w:rsid w:val="00794135"/>
    <w:rsid w:val="00795257"/>
    <w:rsid w:val="007959E8"/>
    <w:rsid w:val="00795E9C"/>
    <w:rsid w:val="00796E75"/>
    <w:rsid w:val="007A0521"/>
    <w:rsid w:val="007A2E12"/>
    <w:rsid w:val="007A3475"/>
    <w:rsid w:val="007A41C8"/>
    <w:rsid w:val="007A46E3"/>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C6E35"/>
    <w:rsid w:val="007D06C4"/>
    <w:rsid w:val="007D1352"/>
    <w:rsid w:val="007D2508"/>
    <w:rsid w:val="007D346A"/>
    <w:rsid w:val="007D6518"/>
    <w:rsid w:val="007D76BD"/>
    <w:rsid w:val="007E0BF1"/>
    <w:rsid w:val="007E21EA"/>
    <w:rsid w:val="007F0ED8"/>
    <w:rsid w:val="007F0F63"/>
    <w:rsid w:val="007F6815"/>
    <w:rsid w:val="007F75CE"/>
    <w:rsid w:val="007F7D4C"/>
    <w:rsid w:val="008013A4"/>
    <w:rsid w:val="00801C63"/>
    <w:rsid w:val="008027CE"/>
    <w:rsid w:val="00802B83"/>
    <w:rsid w:val="00802F42"/>
    <w:rsid w:val="00803034"/>
    <w:rsid w:val="00804383"/>
    <w:rsid w:val="00804BB7"/>
    <w:rsid w:val="00804D41"/>
    <w:rsid w:val="00810126"/>
    <w:rsid w:val="00810257"/>
    <w:rsid w:val="008104F5"/>
    <w:rsid w:val="00811072"/>
    <w:rsid w:val="00811369"/>
    <w:rsid w:val="0081188B"/>
    <w:rsid w:val="00811E26"/>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1CB"/>
    <w:rsid w:val="00843C13"/>
    <w:rsid w:val="00843DEF"/>
    <w:rsid w:val="008454F8"/>
    <w:rsid w:val="0085173A"/>
    <w:rsid w:val="008603CE"/>
    <w:rsid w:val="008620FC"/>
    <w:rsid w:val="008627A5"/>
    <w:rsid w:val="00862923"/>
    <w:rsid w:val="00863E05"/>
    <w:rsid w:val="00865ACA"/>
    <w:rsid w:val="00865D28"/>
    <w:rsid w:val="00865F85"/>
    <w:rsid w:val="00867C10"/>
    <w:rsid w:val="00870439"/>
    <w:rsid w:val="00870DA1"/>
    <w:rsid w:val="00876758"/>
    <w:rsid w:val="0088306F"/>
    <w:rsid w:val="00883F93"/>
    <w:rsid w:val="00884D30"/>
    <w:rsid w:val="00884DB3"/>
    <w:rsid w:val="00885A9D"/>
    <w:rsid w:val="00885AEF"/>
    <w:rsid w:val="008864F6"/>
    <w:rsid w:val="00886F15"/>
    <w:rsid w:val="0089049D"/>
    <w:rsid w:val="008917FC"/>
    <w:rsid w:val="0089243D"/>
    <w:rsid w:val="008928C9"/>
    <w:rsid w:val="00892CA6"/>
    <w:rsid w:val="008930CB"/>
    <w:rsid w:val="008938DC"/>
    <w:rsid w:val="00893FD1"/>
    <w:rsid w:val="00894242"/>
    <w:rsid w:val="00894836"/>
    <w:rsid w:val="00895172"/>
    <w:rsid w:val="00895472"/>
    <w:rsid w:val="00895680"/>
    <w:rsid w:val="00896DFF"/>
    <w:rsid w:val="0089762C"/>
    <w:rsid w:val="008A173B"/>
    <w:rsid w:val="008A1893"/>
    <w:rsid w:val="008A57E6"/>
    <w:rsid w:val="008A6F81"/>
    <w:rsid w:val="008A769A"/>
    <w:rsid w:val="008B0C9C"/>
    <w:rsid w:val="008B166D"/>
    <w:rsid w:val="008B17F4"/>
    <w:rsid w:val="008B3615"/>
    <w:rsid w:val="008B49FA"/>
    <w:rsid w:val="008B4AC4"/>
    <w:rsid w:val="008B50C8"/>
    <w:rsid w:val="008B5281"/>
    <w:rsid w:val="008B5F06"/>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7B54"/>
    <w:rsid w:val="008E0C9D"/>
    <w:rsid w:val="008E1648"/>
    <w:rsid w:val="008E1B3E"/>
    <w:rsid w:val="008E1E83"/>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3332"/>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9D5"/>
    <w:rsid w:val="00942BF1"/>
    <w:rsid w:val="00945180"/>
    <w:rsid w:val="00945428"/>
    <w:rsid w:val="0094607B"/>
    <w:rsid w:val="00953604"/>
    <w:rsid w:val="0095496B"/>
    <w:rsid w:val="009567E2"/>
    <w:rsid w:val="00960961"/>
    <w:rsid w:val="00960F1E"/>
    <w:rsid w:val="009610DC"/>
    <w:rsid w:val="00961490"/>
    <w:rsid w:val="009618DD"/>
    <w:rsid w:val="0096381A"/>
    <w:rsid w:val="00963E35"/>
    <w:rsid w:val="00965E04"/>
    <w:rsid w:val="009674AD"/>
    <w:rsid w:val="00970CDC"/>
    <w:rsid w:val="00970DD9"/>
    <w:rsid w:val="009722A7"/>
    <w:rsid w:val="00975727"/>
    <w:rsid w:val="0097647E"/>
    <w:rsid w:val="0097670F"/>
    <w:rsid w:val="00977010"/>
    <w:rsid w:val="00977D02"/>
    <w:rsid w:val="00977FF9"/>
    <w:rsid w:val="00980376"/>
    <w:rsid w:val="009809BB"/>
    <w:rsid w:val="0098364B"/>
    <w:rsid w:val="00983FCD"/>
    <w:rsid w:val="00986419"/>
    <w:rsid w:val="009869D3"/>
    <w:rsid w:val="00986BE0"/>
    <w:rsid w:val="009908A3"/>
    <w:rsid w:val="009911AF"/>
    <w:rsid w:val="00991875"/>
    <w:rsid w:val="00991F92"/>
    <w:rsid w:val="00992985"/>
    <w:rsid w:val="00993889"/>
    <w:rsid w:val="0099551B"/>
    <w:rsid w:val="009967C1"/>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432"/>
    <w:rsid w:val="009C27F1"/>
    <w:rsid w:val="009C3152"/>
    <w:rsid w:val="009C3257"/>
    <w:rsid w:val="009C4CFA"/>
    <w:rsid w:val="009C5070"/>
    <w:rsid w:val="009C6C0B"/>
    <w:rsid w:val="009D112C"/>
    <w:rsid w:val="009D1385"/>
    <w:rsid w:val="009D47FA"/>
    <w:rsid w:val="009D4C5B"/>
    <w:rsid w:val="009D50D2"/>
    <w:rsid w:val="009D6BCA"/>
    <w:rsid w:val="009D7A5A"/>
    <w:rsid w:val="009E0F62"/>
    <w:rsid w:val="009E4A58"/>
    <w:rsid w:val="009E5A2D"/>
    <w:rsid w:val="009E5AB2"/>
    <w:rsid w:val="009E5B91"/>
    <w:rsid w:val="009E6219"/>
    <w:rsid w:val="009F03B3"/>
    <w:rsid w:val="009F614A"/>
    <w:rsid w:val="009F6B14"/>
    <w:rsid w:val="00A0096C"/>
    <w:rsid w:val="00A01757"/>
    <w:rsid w:val="00A028C0"/>
    <w:rsid w:val="00A02BAE"/>
    <w:rsid w:val="00A0460B"/>
    <w:rsid w:val="00A06A6B"/>
    <w:rsid w:val="00A07E47"/>
    <w:rsid w:val="00A129D0"/>
    <w:rsid w:val="00A12C33"/>
    <w:rsid w:val="00A138BA"/>
    <w:rsid w:val="00A13B2E"/>
    <w:rsid w:val="00A14C8E"/>
    <w:rsid w:val="00A153D9"/>
    <w:rsid w:val="00A15F09"/>
    <w:rsid w:val="00A169B6"/>
    <w:rsid w:val="00A2271D"/>
    <w:rsid w:val="00A237D5"/>
    <w:rsid w:val="00A30EFC"/>
    <w:rsid w:val="00A31984"/>
    <w:rsid w:val="00A32D73"/>
    <w:rsid w:val="00A32DF9"/>
    <w:rsid w:val="00A3367B"/>
    <w:rsid w:val="00A33C67"/>
    <w:rsid w:val="00A3597D"/>
    <w:rsid w:val="00A36DD1"/>
    <w:rsid w:val="00A37FD3"/>
    <w:rsid w:val="00A4006C"/>
    <w:rsid w:val="00A40091"/>
    <w:rsid w:val="00A400C6"/>
    <w:rsid w:val="00A4030F"/>
    <w:rsid w:val="00A41AF9"/>
    <w:rsid w:val="00A41C79"/>
    <w:rsid w:val="00A41CB5"/>
    <w:rsid w:val="00A42CDF"/>
    <w:rsid w:val="00A43770"/>
    <w:rsid w:val="00A4452E"/>
    <w:rsid w:val="00A4472C"/>
    <w:rsid w:val="00A44E69"/>
    <w:rsid w:val="00A4661E"/>
    <w:rsid w:val="00A46E4D"/>
    <w:rsid w:val="00A471E2"/>
    <w:rsid w:val="00A50048"/>
    <w:rsid w:val="00A535A8"/>
    <w:rsid w:val="00A55BD6"/>
    <w:rsid w:val="00A55D50"/>
    <w:rsid w:val="00A57142"/>
    <w:rsid w:val="00A648CD"/>
    <w:rsid w:val="00A6537A"/>
    <w:rsid w:val="00A67866"/>
    <w:rsid w:val="00A70B07"/>
    <w:rsid w:val="00A723F8"/>
    <w:rsid w:val="00A73728"/>
    <w:rsid w:val="00A73DCA"/>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036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8E0"/>
    <w:rsid w:val="00AE2A69"/>
    <w:rsid w:val="00AE37E5"/>
    <w:rsid w:val="00AE3D34"/>
    <w:rsid w:val="00AE5EB4"/>
    <w:rsid w:val="00AF0C18"/>
    <w:rsid w:val="00AF47C5"/>
    <w:rsid w:val="00AF5398"/>
    <w:rsid w:val="00B01BA6"/>
    <w:rsid w:val="00B049AF"/>
    <w:rsid w:val="00B07242"/>
    <w:rsid w:val="00B10534"/>
    <w:rsid w:val="00B113DB"/>
    <w:rsid w:val="00B11D8A"/>
    <w:rsid w:val="00B12981"/>
    <w:rsid w:val="00B147DD"/>
    <w:rsid w:val="00B14BAD"/>
    <w:rsid w:val="00B156FD"/>
    <w:rsid w:val="00B21F61"/>
    <w:rsid w:val="00B24D35"/>
    <w:rsid w:val="00B25323"/>
    <w:rsid w:val="00B261F1"/>
    <w:rsid w:val="00B265BC"/>
    <w:rsid w:val="00B31FB1"/>
    <w:rsid w:val="00B33952"/>
    <w:rsid w:val="00B33C5E"/>
    <w:rsid w:val="00B342F4"/>
    <w:rsid w:val="00B34369"/>
    <w:rsid w:val="00B3481A"/>
    <w:rsid w:val="00B34DC2"/>
    <w:rsid w:val="00B35064"/>
    <w:rsid w:val="00B35836"/>
    <w:rsid w:val="00B378E5"/>
    <w:rsid w:val="00B43017"/>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1B38"/>
    <w:rsid w:val="00B827A6"/>
    <w:rsid w:val="00B831CE"/>
    <w:rsid w:val="00B86677"/>
    <w:rsid w:val="00B87131"/>
    <w:rsid w:val="00B939B1"/>
    <w:rsid w:val="00B95813"/>
    <w:rsid w:val="00B96D40"/>
    <w:rsid w:val="00B96FBB"/>
    <w:rsid w:val="00B97386"/>
    <w:rsid w:val="00BA1547"/>
    <w:rsid w:val="00BA263B"/>
    <w:rsid w:val="00BA42B2"/>
    <w:rsid w:val="00BA58D4"/>
    <w:rsid w:val="00BA5B9E"/>
    <w:rsid w:val="00BA7C9A"/>
    <w:rsid w:val="00BB586B"/>
    <w:rsid w:val="00BB5F8F"/>
    <w:rsid w:val="00BB657A"/>
    <w:rsid w:val="00BC1A4E"/>
    <w:rsid w:val="00BC5428"/>
    <w:rsid w:val="00BC5DC7"/>
    <w:rsid w:val="00BC6B8B"/>
    <w:rsid w:val="00BC7279"/>
    <w:rsid w:val="00BC73D8"/>
    <w:rsid w:val="00BD14DB"/>
    <w:rsid w:val="00BD28F0"/>
    <w:rsid w:val="00BD381B"/>
    <w:rsid w:val="00BD52D7"/>
    <w:rsid w:val="00BD5AD2"/>
    <w:rsid w:val="00BE001E"/>
    <w:rsid w:val="00BE22F3"/>
    <w:rsid w:val="00BE5B52"/>
    <w:rsid w:val="00BE7B8D"/>
    <w:rsid w:val="00BF0993"/>
    <w:rsid w:val="00BF10A9"/>
    <w:rsid w:val="00BF110F"/>
    <w:rsid w:val="00BF111C"/>
    <w:rsid w:val="00BF1703"/>
    <w:rsid w:val="00BF1F4E"/>
    <w:rsid w:val="00BF231C"/>
    <w:rsid w:val="00BF2E99"/>
    <w:rsid w:val="00BF30C6"/>
    <w:rsid w:val="00BF51E5"/>
    <w:rsid w:val="00BF74A6"/>
    <w:rsid w:val="00C013AD"/>
    <w:rsid w:val="00C04904"/>
    <w:rsid w:val="00C056B3"/>
    <w:rsid w:val="00C07DE2"/>
    <w:rsid w:val="00C103E5"/>
    <w:rsid w:val="00C13319"/>
    <w:rsid w:val="00C13BF4"/>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48"/>
    <w:rsid w:val="00C42FDF"/>
    <w:rsid w:val="00C44BF5"/>
    <w:rsid w:val="00C44C64"/>
    <w:rsid w:val="00C45A00"/>
    <w:rsid w:val="00C45F6D"/>
    <w:rsid w:val="00C4703E"/>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0E8F"/>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95C"/>
    <w:rsid w:val="00CB1A42"/>
    <w:rsid w:val="00CB1B0C"/>
    <w:rsid w:val="00CB2C0B"/>
    <w:rsid w:val="00CB517D"/>
    <w:rsid w:val="00CC038D"/>
    <w:rsid w:val="00CC08DB"/>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E3C51"/>
    <w:rsid w:val="00CE6772"/>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07C71"/>
    <w:rsid w:val="00D1067E"/>
    <w:rsid w:val="00D10F50"/>
    <w:rsid w:val="00D11272"/>
    <w:rsid w:val="00D126F5"/>
    <w:rsid w:val="00D1489E"/>
    <w:rsid w:val="00D151BF"/>
    <w:rsid w:val="00D20737"/>
    <w:rsid w:val="00D21E81"/>
    <w:rsid w:val="00D223DE"/>
    <w:rsid w:val="00D236B2"/>
    <w:rsid w:val="00D24059"/>
    <w:rsid w:val="00D25E37"/>
    <w:rsid w:val="00D2661A"/>
    <w:rsid w:val="00D26C49"/>
    <w:rsid w:val="00D27582"/>
    <w:rsid w:val="00D27EC4"/>
    <w:rsid w:val="00D30BAB"/>
    <w:rsid w:val="00D32719"/>
    <w:rsid w:val="00D33333"/>
    <w:rsid w:val="00D34AB2"/>
    <w:rsid w:val="00D352A2"/>
    <w:rsid w:val="00D4162B"/>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84941"/>
    <w:rsid w:val="00D84FA1"/>
    <w:rsid w:val="00D851F0"/>
    <w:rsid w:val="00D86DB7"/>
    <w:rsid w:val="00D87BF5"/>
    <w:rsid w:val="00D90721"/>
    <w:rsid w:val="00D926D0"/>
    <w:rsid w:val="00D93030"/>
    <w:rsid w:val="00D94E08"/>
    <w:rsid w:val="00D950E1"/>
    <w:rsid w:val="00D952A6"/>
    <w:rsid w:val="00D96BA5"/>
    <w:rsid w:val="00D97F99"/>
    <w:rsid w:val="00DA0D24"/>
    <w:rsid w:val="00DA1E08"/>
    <w:rsid w:val="00DA24F8"/>
    <w:rsid w:val="00DA28E8"/>
    <w:rsid w:val="00DA38D3"/>
    <w:rsid w:val="00DA3932"/>
    <w:rsid w:val="00DA3AFC"/>
    <w:rsid w:val="00DA3D75"/>
    <w:rsid w:val="00DA3FBE"/>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11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3DFB"/>
    <w:rsid w:val="00DF44DE"/>
    <w:rsid w:val="00E01138"/>
    <w:rsid w:val="00E0123C"/>
    <w:rsid w:val="00E02DFB"/>
    <w:rsid w:val="00E030F9"/>
    <w:rsid w:val="00E0311A"/>
    <w:rsid w:val="00E03138"/>
    <w:rsid w:val="00E0589A"/>
    <w:rsid w:val="00E06404"/>
    <w:rsid w:val="00E11A85"/>
    <w:rsid w:val="00E12495"/>
    <w:rsid w:val="00E134E0"/>
    <w:rsid w:val="00E15CCD"/>
    <w:rsid w:val="00E202EF"/>
    <w:rsid w:val="00E210B5"/>
    <w:rsid w:val="00E2552F"/>
    <w:rsid w:val="00E26438"/>
    <w:rsid w:val="00E27533"/>
    <w:rsid w:val="00E3137A"/>
    <w:rsid w:val="00E32CCF"/>
    <w:rsid w:val="00E34A98"/>
    <w:rsid w:val="00E34F25"/>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77D4C"/>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4C55"/>
    <w:rsid w:val="00EE613F"/>
    <w:rsid w:val="00EE7295"/>
    <w:rsid w:val="00EE7869"/>
    <w:rsid w:val="00EF054A"/>
    <w:rsid w:val="00EF1FDA"/>
    <w:rsid w:val="00EF3235"/>
    <w:rsid w:val="00EF337C"/>
    <w:rsid w:val="00EF380C"/>
    <w:rsid w:val="00EF70DB"/>
    <w:rsid w:val="00EF7E72"/>
    <w:rsid w:val="00F0071C"/>
    <w:rsid w:val="00F02513"/>
    <w:rsid w:val="00F02789"/>
    <w:rsid w:val="00F04E58"/>
    <w:rsid w:val="00F05417"/>
    <w:rsid w:val="00F06D37"/>
    <w:rsid w:val="00F07B9D"/>
    <w:rsid w:val="00F11586"/>
    <w:rsid w:val="00F1183B"/>
    <w:rsid w:val="00F11C9F"/>
    <w:rsid w:val="00F12263"/>
    <w:rsid w:val="00F138EF"/>
    <w:rsid w:val="00F1409D"/>
    <w:rsid w:val="00F14214"/>
    <w:rsid w:val="00F157A9"/>
    <w:rsid w:val="00F15C72"/>
    <w:rsid w:val="00F16525"/>
    <w:rsid w:val="00F16F00"/>
    <w:rsid w:val="00F25BB6"/>
    <w:rsid w:val="00F26B7E"/>
    <w:rsid w:val="00F27A3B"/>
    <w:rsid w:val="00F31F1B"/>
    <w:rsid w:val="00F32780"/>
    <w:rsid w:val="00F33817"/>
    <w:rsid w:val="00F360D4"/>
    <w:rsid w:val="00F420D5"/>
    <w:rsid w:val="00F431A9"/>
    <w:rsid w:val="00F451EA"/>
    <w:rsid w:val="00F45447"/>
    <w:rsid w:val="00F456C6"/>
    <w:rsid w:val="00F4577B"/>
    <w:rsid w:val="00F46496"/>
    <w:rsid w:val="00F474D0"/>
    <w:rsid w:val="00F50179"/>
    <w:rsid w:val="00F515EE"/>
    <w:rsid w:val="00F5210F"/>
    <w:rsid w:val="00F56511"/>
    <w:rsid w:val="00F60347"/>
    <w:rsid w:val="00F6194E"/>
    <w:rsid w:val="00F623AC"/>
    <w:rsid w:val="00F6412A"/>
    <w:rsid w:val="00F65893"/>
    <w:rsid w:val="00F664B5"/>
    <w:rsid w:val="00F66A4A"/>
    <w:rsid w:val="00F71E22"/>
    <w:rsid w:val="00F72142"/>
    <w:rsid w:val="00F72AE7"/>
    <w:rsid w:val="00F77514"/>
    <w:rsid w:val="00F80209"/>
    <w:rsid w:val="00F82FFC"/>
    <w:rsid w:val="00F833BA"/>
    <w:rsid w:val="00F84FD0"/>
    <w:rsid w:val="00F859A8"/>
    <w:rsid w:val="00F86D87"/>
    <w:rsid w:val="00F87518"/>
    <w:rsid w:val="00F90115"/>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45F7"/>
    <w:rsid w:val="00FD59EB"/>
    <w:rsid w:val="00FD7299"/>
    <w:rsid w:val="00FE1FBE"/>
    <w:rsid w:val="00FE3901"/>
    <w:rsid w:val="00FE39D3"/>
    <w:rsid w:val="00FE4BCE"/>
    <w:rsid w:val="00FE54AE"/>
    <w:rsid w:val="00FE576A"/>
    <w:rsid w:val="00FE7E79"/>
    <w:rsid w:val="00FF1374"/>
    <w:rsid w:val="00FF2599"/>
    <w:rsid w:val="00FF3E7D"/>
    <w:rsid w:val="00FF5B99"/>
    <w:rsid w:val="00FF730C"/>
    <w:rsid w:val="00FF73F4"/>
    <w:rsid w:val="00FF7CE4"/>
    <w:rsid w:val="00FF7E39"/>
    <w:rsid w:val="5BC0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正文表标题"/>
    <w:next w:val="afffffffffff3"/>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12">
    <w:name w:val="正文1"/>
    <w:qFormat/>
    <w:pPr>
      <w:jc w:val="both"/>
    </w:pPr>
    <w:rPr>
      <w:rFonts w:cs="Calibri"/>
      <w:kern w:val="2"/>
      <w:sz w:val="21"/>
      <w:szCs w:val="21"/>
    </w:rPr>
  </w:style>
  <w:style w:type="paragraph" w:customStyle="1" w:styleId="24">
    <w:name w:val="正文2"/>
    <w:qFormat/>
    <w:pPr>
      <w:jc w:val="both"/>
    </w:pPr>
    <w:rPr>
      <w:rFonts w:cs="Calibri"/>
      <w:kern w:val="2"/>
      <w:sz w:val="21"/>
      <w:szCs w:val="21"/>
    </w:rPr>
  </w:style>
  <w:style w:type="paragraph" w:customStyle="1" w:styleId="afffffffffff5">
    <w:name w:val="二级条标题"/>
    <w:basedOn w:val="afff5"/>
    <w:next w:val="afffffffffff3"/>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pPr>
      <w:jc w:val="both"/>
    </w:pPr>
    <w:rPr>
      <w:rFonts w:cs="Calibri"/>
      <w:kern w:val="2"/>
      <w:sz w:val="21"/>
      <w:szCs w:val="21"/>
    </w:rPr>
  </w:style>
  <w:style w:type="paragraph" w:customStyle="1" w:styleId="42">
    <w:name w:val="正文4"/>
    <w:pPr>
      <w:jc w:val="both"/>
    </w:pPr>
    <w:rPr>
      <w:rFonts w:ascii="Times New Roman" w:hAnsi="Times New Roman"/>
      <w:kern w:val="2"/>
      <w:sz w:val="21"/>
      <w:szCs w:val="21"/>
    </w:rPr>
  </w:style>
  <w:style w:type="paragraph" w:customStyle="1" w:styleId="afffffffffff6">
    <w:name w:val="二级无"/>
    <w:basedOn w:val="afffffffffff5"/>
    <w:qFormat/>
    <w:pPr>
      <w:spacing w:beforeLines="0" w:afterLines="0"/>
    </w:pPr>
    <w:rPr>
      <w:rFonts w:ascii="宋体" w:eastAsia="宋体" w:hAnsi="宋体" w:cs="宋体"/>
    </w:rPr>
  </w:style>
  <w:style w:type="paragraph" w:customStyle="1" w:styleId="afffffffffff7">
    <w:name w:val="字母编号列项（一级）"/>
    <w:basedOn w:val="afff5"/>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pPr>
      <w:jc w:val="both"/>
    </w:pPr>
    <w:rPr>
      <w:rFonts w:cs="Calibri"/>
      <w:kern w:val="2"/>
      <w:sz w:val="21"/>
      <w:szCs w:val="21"/>
    </w:rPr>
  </w:style>
  <w:style w:type="paragraph" w:customStyle="1" w:styleId="62">
    <w:name w:val="正文6"/>
    <w:qFormat/>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正文表标题"/>
    <w:next w:val="afffffffffff3"/>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12">
    <w:name w:val="正文1"/>
    <w:qFormat/>
    <w:pPr>
      <w:jc w:val="both"/>
    </w:pPr>
    <w:rPr>
      <w:rFonts w:cs="Calibri"/>
      <w:kern w:val="2"/>
      <w:sz w:val="21"/>
      <w:szCs w:val="21"/>
    </w:rPr>
  </w:style>
  <w:style w:type="paragraph" w:customStyle="1" w:styleId="24">
    <w:name w:val="正文2"/>
    <w:qFormat/>
    <w:pPr>
      <w:jc w:val="both"/>
    </w:pPr>
    <w:rPr>
      <w:rFonts w:cs="Calibri"/>
      <w:kern w:val="2"/>
      <w:sz w:val="21"/>
      <w:szCs w:val="21"/>
    </w:rPr>
  </w:style>
  <w:style w:type="paragraph" w:customStyle="1" w:styleId="afffffffffff5">
    <w:name w:val="二级条标题"/>
    <w:basedOn w:val="afff5"/>
    <w:next w:val="afffffffffff3"/>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pPr>
      <w:jc w:val="both"/>
    </w:pPr>
    <w:rPr>
      <w:rFonts w:cs="Calibri"/>
      <w:kern w:val="2"/>
      <w:sz w:val="21"/>
      <w:szCs w:val="21"/>
    </w:rPr>
  </w:style>
  <w:style w:type="paragraph" w:customStyle="1" w:styleId="42">
    <w:name w:val="正文4"/>
    <w:pPr>
      <w:jc w:val="both"/>
    </w:pPr>
    <w:rPr>
      <w:rFonts w:ascii="Times New Roman" w:hAnsi="Times New Roman"/>
      <w:kern w:val="2"/>
      <w:sz w:val="21"/>
      <w:szCs w:val="21"/>
    </w:rPr>
  </w:style>
  <w:style w:type="paragraph" w:customStyle="1" w:styleId="afffffffffff6">
    <w:name w:val="二级无"/>
    <w:basedOn w:val="afffffffffff5"/>
    <w:qFormat/>
    <w:pPr>
      <w:spacing w:beforeLines="0" w:afterLines="0"/>
    </w:pPr>
    <w:rPr>
      <w:rFonts w:ascii="宋体" w:eastAsia="宋体" w:hAnsi="宋体" w:cs="宋体"/>
    </w:rPr>
  </w:style>
  <w:style w:type="paragraph" w:customStyle="1" w:styleId="afffffffffff7">
    <w:name w:val="字母编号列项（一级）"/>
    <w:basedOn w:val="afff5"/>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pPr>
      <w:jc w:val="both"/>
    </w:pPr>
    <w:rPr>
      <w:rFonts w:cs="Calibri"/>
      <w:kern w:val="2"/>
      <w:sz w:val="21"/>
      <w:szCs w:val="21"/>
    </w:rPr>
  </w:style>
  <w:style w:type="paragraph" w:customStyle="1" w:styleId="62">
    <w:name w:val="正文6"/>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td.samr.gov.cn/gb/search/gbDetailed?id=71F772D7AB3CD3A7E05397BE0A0AB82A" TargetMode="External"/><Relationship Id="rId3" Type="http://schemas.openxmlformats.org/officeDocument/2006/relationships/numbering" Target="numbering.xml"/><Relationship Id="rId21" Type="http://schemas.openxmlformats.org/officeDocument/2006/relationships/hyperlink" Target="http://standard.sist.org.cn/StdSearch/stdDetail.aspx?AppID=GB/T%201591-2018&amp;v=GB/T%201591%24"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andard.sist.org.cn/StdSearch/stdDetail.aspx?AppID=GB%2012348-2008&amp;v=GB%2012348%24"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td.samr.gov.cn/gb/search/gbDetailed?id=71F772D7B643D3A7E05397BE0A0AB82A"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tandard.sist.org.cn/StdSearch/stdDetail.aspx?AppID=GB/T%205118-2012&amp;v=GB/T%205118%24" TargetMode="External"/><Relationship Id="rId28" Type="http://schemas.openxmlformats.org/officeDocument/2006/relationships/hyperlink" Target="https://std.samr.gov.cn/gb/search/gbDetailed?id=B4C25880C31F1CB3E05397BE0A0A92D0" TargetMode="Externa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tandard.sist.org.cn/StdSearch/stdDetail.aspx?AppID=GB/T%205117-2012&amp;v=GB/T%205117%24" TargetMode="External"/><Relationship Id="rId27" Type="http://schemas.openxmlformats.org/officeDocument/2006/relationships/hyperlink" Target="https://std.samr.gov.cn/gb/search/gbDetailed?id=A0285713F61F1875E05397BE0A0AFAC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BDAD553443420EB62B03F0A4A77B27"/>
        <w:category>
          <w:name w:val="常规"/>
          <w:gallery w:val="placeholder"/>
        </w:category>
        <w:types>
          <w:type w:val="bbPlcHdr"/>
        </w:types>
        <w:behaviors>
          <w:behavior w:val="content"/>
        </w:behaviors>
        <w:guid w:val="{0AB89202-F7F8-4760-A8C1-71638B3E6D9F}"/>
      </w:docPartPr>
      <w:docPartBody>
        <w:p w:rsidR="000F0A0A" w:rsidRDefault="00B87333">
          <w:pPr>
            <w:pStyle w:val="3DBDAD553443420EB62B03F0A4A77B27"/>
          </w:pPr>
          <w:r>
            <w:rPr>
              <w:rStyle w:val="a3"/>
              <w:rFonts w:hint="eastAsia"/>
            </w:rPr>
            <w:t>单击或点击此处输入文字。</w:t>
          </w:r>
        </w:p>
      </w:docPartBody>
    </w:docPart>
    <w:docPart>
      <w:docPartPr>
        <w:name w:val="DA234498DC1A47BC9ABE156AEEAF14CF"/>
        <w:category>
          <w:name w:val="常规"/>
          <w:gallery w:val="placeholder"/>
        </w:category>
        <w:types>
          <w:type w:val="bbPlcHdr"/>
        </w:types>
        <w:behaviors>
          <w:behavior w:val="content"/>
        </w:behaviors>
        <w:guid w:val="{EF8F7F23-470D-456D-8595-47C05A96647C}"/>
      </w:docPartPr>
      <w:docPartBody>
        <w:p w:rsidR="000F0A0A" w:rsidRDefault="00B87333">
          <w:pPr>
            <w:pStyle w:val="DA234498DC1A47BC9ABE156AEEAF14CF"/>
          </w:pPr>
          <w:r>
            <w:rPr>
              <w:rStyle w:val="a3"/>
              <w:rFonts w:hint="eastAsia"/>
            </w:rPr>
            <w:t>选择一项。</w:t>
          </w:r>
        </w:p>
      </w:docPartBody>
    </w:docPart>
    <w:docPart>
      <w:docPartPr>
        <w:name w:val="7612817B744C4F2D86A152590FB94BE7"/>
        <w:category>
          <w:name w:val="常规"/>
          <w:gallery w:val="placeholder"/>
        </w:category>
        <w:types>
          <w:type w:val="bbPlcHdr"/>
        </w:types>
        <w:behaviors>
          <w:behavior w:val="content"/>
        </w:behaviors>
        <w:guid w:val="{57940640-9E6D-4933-8940-2D3D47B3DDA9}"/>
      </w:docPartPr>
      <w:docPartBody>
        <w:p w:rsidR="000F0A0A" w:rsidRDefault="00B87333">
          <w:pPr>
            <w:pStyle w:val="7612817B744C4F2D86A152590FB94BE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81249"/>
    <w:rsid w:val="00094F9B"/>
    <w:rsid w:val="000D1023"/>
    <w:rsid w:val="000F0A0A"/>
    <w:rsid w:val="00136B0B"/>
    <w:rsid w:val="00183127"/>
    <w:rsid w:val="001E49D0"/>
    <w:rsid w:val="00210078"/>
    <w:rsid w:val="00252CBB"/>
    <w:rsid w:val="0029084C"/>
    <w:rsid w:val="002F58F9"/>
    <w:rsid w:val="003212FB"/>
    <w:rsid w:val="003745EC"/>
    <w:rsid w:val="003D6B58"/>
    <w:rsid w:val="004D3625"/>
    <w:rsid w:val="004E4AB8"/>
    <w:rsid w:val="005C1DCE"/>
    <w:rsid w:val="005D62B9"/>
    <w:rsid w:val="005E163C"/>
    <w:rsid w:val="00646BB6"/>
    <w:rsid w:val="00655B78"/>
    <w:rsid w:val="006708C0"/>
    <w:rsid w:val="006F13C6"/>
    <w:rsid w:val="006F5279"/>
    <w:rsid w:val="006F5B1C"/>
    <w:rsid w:val="007C6139"/>
    <w:rsid w:val="00837809"/>
    <w:rsid w:val="008703FE"/>
    <w:rsid w:val="008718E7"/>
    <w:rsid w:val="008B4C2A"/>
    <w:rsid w:val="0094476D"/>
    <w:rsid w:val="00995244"/>
    <w:rsid w:val="00A75C62"/>
    <w:rsid w:val="00B048FA"/>
    <w:rsid w:val="00B56580"/>
    <w:rsid w:val="00B87333"/>
    <w:rsid w:val="00B952A2"/>
    <w:rsid w:val="00C32696"/>
    <w:rsid w:val="00C43C8D"/>
    <w:rsid w:val="00DA7717"/>
    <w:rsid w:val="00E21175"/>
    <w:rsid w:val="00EA7F0E"/>
    <w:rsid w:val="00EB2D08"/>
    <w:rsid w:val="00EC2C4F"/>
    <w:rsid w:val="00F13A4E"/>
    <w:rsid w:val="00F5564B"/>
    <w:rsid w:val="00F76958"/>
    <w:rsid w:val="00FA001C"/>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rPr>
      <w:kern w:val="2"/>
      <w:sz w:val="21"/>
      <w:szCs w:val="22"/>
    </w:rPr>
  </w:style>
  <w:style w:type="paragraph" w:customStyle="1" w:styleId="DA234498DC1A47BC9ABE156AEEAF14CF">
    <w:name w:val="DA234498DC1A47BC9ABE156AEEAF14CF"/>
    <w:pPr>
      <w:widowControl w:val="0"/>
      <w:jc w:val="both"/>
    </w:pPr>
    <w:rPr>
      <w:kern w:val="2"/>
      <w:sz w:val="21"/>
      <w:szCs w:val="22"/>
    </w:rPr>
  </w:style>
  <w:style w:type="paragraph" w:customStyle="1" w:styleId="7612817B744C4F2D86A152590FB94BE7">
    <w:name w:val="7612817B744C4F2D86A152590FB94BE7"/>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rPr>
      <w:kern w:val="2"/>
      <w:sz w:val="21"/>
      <w:szCs w:val="22"/>
    </w:rPr>
  </w:style>
  <w:style w:type="paragraph" w:customStyle="1" w:styleId="DA234498DC1A47BC9ABE156AEEAF14CF">
    <w:name w:val="DA234498DC1A47BC9ABE156AEEAF14CF"/>
    <w:pPr>
      <w:widowControl w:val="0"/>
      <w:jc w:val="both"/>
    </w:pPr>
    <w:rPr>
      <w:kern w:val="2"/>
      <w:sz w:val="21"/>
      <w:szCs w:val="22"/>
    </w:rPr>
  </w:style>
  <w:style w:type="paragraph" w:customStyle="1" w:styleId="7612817B744C4F2D86A152590FB94BE7">
    <w:name w:val="7612817B744C4F2D86A152590FB94BE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A2D8A-229C-4E56-B8B8-33DB20E9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6755</TotalTime>
  <Pages>1</Pages>
  <Words>1053</Words>
  <Characters>6007</Characters>
  <Application>Microsoft Office Word</Application>
  <DocSecurity>0</DocSecurity>
  <Lines>50</Lines>
  <Paragraphs>14</Paragraphs>
  <ScaleCrop>false</ScaleCrop>
  <Company>PCMI</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55</cp:revision>
  <cp:lastPrinted>2025-09-23T09:34:00Z</cp:lastPrinted>
  <dcterms:created xsi:type="dcterms:W3CDTF">2024-12-23T01:40:00Z</dcterms:created>
  <dcterms:modified xsi:type="dcterms:W3CDTF">2025-09-23T09:34:00Z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2052-12.1.0.22529</vt:lpwstr>
  </property>
  <property fmtid="{D5CDD505-2E9C-101B-9397-08002B2CF9AE}" pid="16" name="ICV">
    <vt:lpwstr>96E24E5167B94B21B82CE1C54B1DA54D_12</vt:lpwstr>
  </property>
</Properties>
</file>